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EU Trade Pacts Are Splitting Ocean Freight in Two</w:t>
      </w:r>
    </w:p>
    <w:p>
      <w:r>
        <w:rPr>
          <w:i/>
          <w:sz w:val="18"/>
        </w:rPr>
        <w:t>Meta title: EU-Australia vs EU-Mercosur: Two Different Freight Worlds</w:t>
      </w:r>
    </w:p>
    <w:p>
      <w:r>
        <w:rPr>
          <w:i/>
          <w:sz w:val="18"/>
        </w:rPr>
        <w:t>Meta description: The EU's 2026 deals with Australia and Mercosur are steering ocean freight onto two very different paths for cargo owners and carriers alike.</w:t>
      </w:r>
    </w:p>
    <w:p/>
    <w:p>
      <w:r>
        <w:t>Trade deals don't load a single container, yet they quietly reshape the routes ocean freight ends up taking. Two agreements signed by the EU this year, one with Australia and one with the Mercosur bloc, are doing exactly that to ocean freight. Both were built to open new markets. What they open, though, looks nothing alike once you follow the cargo instead of the headlines. Australia draws the EU into a world of resource contracts and long, expensive voyages, and the Mercosur side of the ledger looks nothing like it: an Atlantic system running on volume and refrigeration. Our review found Europe effectively building two separate corridors at once, and each one asks shipping teams for a different kind of planning.</w:t>
      </w:r>
    </w:p>
    <w:p>
      <w:pPr>
        <w:pStyle w:val="Heading2"/>
      </w:pPr>
      <w:r>
        <w:t>EU-Australia Trade Agreement</w:t>
      </w:r>
    </w:p>
    <w:p>
      <w:r>
        <w:t>Signed and concluded on March 24, 2026, the EU-Australia trade agreement wipes out tariffs across nearly the entire trade relationship between the two markets.</w:t>
      </w:r>
    </w:p>
    <w:p>
      <w:r>
        <w:t>A large piece of the deal is about resources, specifically lithium, nickel, and rare earth elements. Securing this access matters for battery manufacturing and the broader shift toward electric mobility, and the agreement is written with that priority front and center.</w:t>
      </w:r>
    </w:p>
    <w:p>
      <w:r>
        <w:t>Look at the trade structure and a pattern emerges. Long-term supply contracts and resource-driven shipments now move into the EU on a regular basis. Machinery and industrial goods exports flow back out to Australia in return.</w:t>
      </w:r>
    </w:p>
    <w:p>
      <w:pPr>
        <w:pStyle w:val="Heading3"/>
      </w:pPr>
      <w:r>
        <w:t>Operational impact</w:t>
      </w:r>
    </w:p>
    <w:p>
      <w:r>
        <w:t>Right now, none of this is disrupting daily port operations. What it's doing is reshaping how procurement and logistics teams plan years out. Traffic on the long-haul Australia corridor keeps building, bulk carriers are booking more mineral and ore cargo, and vessel operators lean harder on routes where a Suez-versus-Cape-of-Good-Hope call can change the whole schedule.</w:t>
      </w:r>
    </w:p>
    <w:p>
      <w:r>
        <w:t>Shipments under this deal tend to run larger and less frequent, and they carry a lot more exposure to routing calls. On the longer routes, a single deviation can tack on 10 to 15 days to the transit time.</w:t>
      </w:r>
    </w:p>
    <w:p>
      <w:r>
        <w:t>The real challenge for procurement and logistics teams is planning a supply chain that can hold together as sailing paths, bunker prices, and delivery windows keep shifting under them.</w:t>
      </w:r>
    </w:p>
    <w:p>
      <w:pPr>
        <w:pStyle w:val="Heading2"/>
      </w:pPr>
      <w:r>
        <w:t>EU-Mercosur Trade Agreement</w:t>
      </w:r>
    </w:p>
    <w:p>
      <w:r>
        <w:t>The EU-Mercosur agreement was signed in January 2026 and starts provisional application in May. Tariffs on a long list of goods come down under it, part of a broader plan to phase out both tariffs and the older system of export restrictions gradually.</w:t>
      </w:r>
    </w:p>
    <w:p>
      <w:r>
        <w:t>Under the deal, agricultural products and raw materials get a clearer path out of Mercosur countries, Brazil, Argentina, Uruguay, Paraguay, and into the EU. Meat, grain, and ethanol exports sit at the center of that flow. On the return leg, EU industrial exporters get better access for machinery, vehicles, and chemicals.</w:t>
      </w:r>
    </w:p>
    <w:p>
      <w:r>
        <w:t>This is where the contrast with the Australia deal shows up. Mercosur trade runs on high volume, frequent sailings, and goods where price sensitivity actually matters.</w:t>
      </w:r>
    </w:p>
    <w:p>
      <w:pPr>
        <w:pStyle w:val="Heading3"/>
      </w:pPr>
      <w:r>
        <w:t>Operational impact</w:t>
      </w:r>
    </w:p>
    <w:p>
      <w:r>
        <w:t>Atlantic lanes are widening under this deal, refrigerated boxes and the cold-chain network behind them are booking up fast, and delivery windows are holding steadier here than on the long-haul Australia side.</w:t>
      </w:r>
    </w:p>
    <w:p>
      <w:r>
        <w:t>More volume and steadier supply schedules translate into more bookings, more port rotations, tighter windows for delivery, particularly with anything perishable in the container.</w:t>
      </w:r>
    </w:p>
    <w:p>
      <w:r>
        <w:t>Keeping pace with growing shipment frequency and holding onto schedule reliability matters here, all while keeping costs under control across Atlantic routes with plenty of carriers competing for the business.</w:t>
      </w:r>
    </w:p>
    <w:p>
      <w:pPr>
        <w:pStyle w:val="Heading2"/>
      </w:pPr>
      <w:r>
        <w:t>How the Two Deals Stack Up (2026)</w:t>
      </w:r>
    </w:p>
    <w:p>
      <w:r>
        <w:t>Line up the two agreements side by side and the operational differences that matter for trade and logistics teams get easier to see.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EU–Australia</w:t>
            </w:r>
          </w:p>
        </w:tc>
        <w:tc>
          <w:tcPr>
            <w:tcW w:type="dxa" w:w="2880"/>
          </w:tcPr>
          <w:p>
            <w:r>
              <w:rPr>
                <w:b/>
              </w:rPr>
              <w:t>EU–Mercosur</w:t>
            </w:r>
          </w:p>
        </w:tc>
      </w:tr>
      <w:tr>
        <w:tc>
          <w:tcPr>
            <w:tcW w:type="dxa" w:w="2880"/>
          </w:tcPr>
          <w:p>
            <w:r>
              <w:t>Status</w:t>
            </w:r>
          </w:p>
        </w:tc>
        <w:tc>
          <w:tcPr>
            <w:tcW w:type="dxa" w:w="2880"/>
          </w:tcPr>
          <w:p>
            <w:r>
              <w:t>Finalized (March 2026)</w:t>
            </w:r>
          </w:p>
        </w:tc>
        <w:tc>
          <w:tcPr>
            <w:tcW w:type="dxa" w:w="2880"/>
          </w:tcPr>
          <w:p>
            <w:r>
              <w:t>Signed Jan 2026, provisional launch in May 2026</w:t>
            </w:r>
          </w:p>
        </w:tc>
      </w:tr>
      <w:tr>
        <w:tc>
          <w:tcPr>
            <w:tcW w:type="dxa" w:w="2880"/>
          </w:tcPr>
          <w:p>
            <w:r>
              <w:t>Tariffs</w:t>
            </w:r>
          </w:p>
        </w:tc>
        <w:tc>
          <w:tcPr>
            <w:tcW w:type="dxa" w:w="2880"/>
          </w:tcPr>
          <w:p>
            <w:r>
              <w:t>~almost all tariffs removed on both sides</w:t>
            </w:r>
          </w:p>
        </w:tc>
        <w:tc>
          <w:tcPr>
            <w:tcW w:type="dxa" w:w="2880"/>
          </w:tcPr>
          <w:p>
            <w:r>
              <w:t>~91% tariffs on EU exports removed (phased)</w:t>
            </w:r>
          </w:p>
        </w:tc>
      </w:tr>
      <w:tr>
        <w:tc>
          <w:tcPr>
            <w:tcW w:type="dxa" w:w="2880"/>
          </w:tcPr>
          <w:p>
            <w:r>
              <w:t>Agriculture access</w:t>
            </w:r>
          </w:p>
        </w:tc>
        <w:tc>
          <w:tcPr>
            <w:tcW w:type="dxa" w:w="2880"/>
          </w:tcPr>
          <w:p>
            <w:r>
              <w:t>EU exports (wine, dairy, processed food) tariffs removed; quotas for AU meat</w:t>
            </w:r>
          </w:p>
        </w:tc>
        <w:tc>
          <w:tcPr>
            <w:tcW w:type="dxa" w:w="2880"/>
          </w:tcPr>
          <w:p>
            <w:r>
              <w:t>Mercosur exports (beef, poultry, sugar) quotas + gradual liberalization</w:t>
            </w:r>
          </w:p>
        </w:tc>
      </w:tr>
      <w:tr>
        <w:tc>
          <w:tcPr>
            <w:tcW w:type="dxa" w:w="2880"/>
          </w:tcPr>
          <w:p>
            <w:r>
              <w:t>Key imports to the EU</w:t>
            </w:r>
          </w:p>
        </w:tc>
        <w:tc>
          <w:tcPr>
            <w:tcW w:type="dxa" w:w="2880"/>
          </w:tcPr>
          <w:p>
            <w:r>
              <w:t>Critical minerals (lithium, rare earths), energy resources</w:t>
            </w:r>
          </w:p>
        </w:tc>
        <w:tc>
          <w:tcPr>
            <w:tcW w:type="dxa" w:w="2880"/>
          </w:tcPr>
          <w:p>
            <w:r>
              <w:t>Agriculture (meat, grain, ethanol), raw materials</w:t>
            </w:r>
          </w:p>
        </w:tc>
      </w:tr>
      <w:tr>
        <w:tc>
          <w:tcPr>
            <w:tcW w:type="dxa" w:w="2880"/>
          </w:tcPr>
          <w:p>
            <w:r>
              <w:t>Industrial exports from the EU</w:t>
            </w:r>
          </w:p>
        </w:tc>
        <w:tc>
          <w:tcPr>
            <w:tcW w:type="dxa" w:w="2880"/>
          </w:tcPr>
          <w:p>
            <w:r>
              <w:t>Cars, machinery, processed goods (improved access)</w:t>
            </w:r>
          </w:p>
        </w:tc>
        <w:tc>
          <w:tcPr>
            <w:tcW w:type="dxa" w:w="2880"/>
          </w:tcPr>
          <w:p>
            <w:r>
              <w:t>Cars, machinery, chemicals (tariff cuts up to ~20–35%)</w:t>
            </w:r>
          </w:p>
        </w:tc>
      </w:tr>
      <w:tr>
        <w:tc>
          <w:tcPr>
            <w:tcW w:type="dxa" w:w="2880"/>
          </w:tcPr>
          <w:p>
            <w:r>
              <w:t>Trade structure</w:t>
            </w:r>
          </w:p>
        </w:tc>
        <w:tc>
          <w:tcPr>
            <w:tcW w:type="dxa" w:w="2880"/>
          </w:tcPr>
          <w:p>
            <w:r>
              <w:t>Strategic, resource-driven, long-term supply chains</w:t>
            </w:r>
          </w:p>
        </w:tc>
        <w:tc>
          <w:tcPr>
            <w:tcW w:type="dxa" w:w="2880"/>
          </w:tcPr>
          <w:p>
            <w:r>
              <w:t>High-volume, regular cargo flow (agri + raw materials)</w:t>
            </w:r>
          </w:p>
        </w:tc>
      </w:tr>
      <w:tr>
        <w:tc>
          <w:tcPr>
            <w:tcW w:type="dxa" w:w="2880"/>
          </w:tcPr>
          <w:p>
            <w:r>
              <w:t>Geopolitical driver</w:t>
            </w:r>
          </w:p>
        </w:tc>
        <w:tc>
          <w:tcPr>
            <w:tcW w:type="dxa" w:w="2880"/>
          </w:tcPr>
          <w:p>
            <w:r>
              <w:t>Reduce dependency on China, secure critical minerals</w:t>
            </w:r>
          </w:p>
        </w:tc>
        <w:tc>
          <w:tcPr>
            <w:tcW w:type="dxa" w:w="2880"/>
          </w:tcPr>
          <w:p>
            <w:r>
              <w:t>Diversification of supply chains and trade partners</w:t>
            </w:r>
          </w:p>
        </w:tc>
      </w:tr>
      <w:tr>
        <w:tc>
          <w:tcPr>
            <w:tcW w:type="dxa" w:w="2880"/>
          </w:tcPr>
          <w:p>
            <w:r>
              <w:t>Trade impact expectation</w:t>
            </w:r>
          </w:p>
        </w:tc>
        <w:tc>
          <w:tcPr>
            <w:tcW w:type="dxa" w:w="2880"/>
          </w:tcPr>
          <w:p>
            <w:r>
              <w:t>Expected to significantly increase trade volumes and economic output</w:t>
            </w:r>
          </w:p>
        </w:tc>
        <w:tc>
          <w:tcPr>
            <w:tcW w:type="dxa" w:w="2880"/>
          </w:tcPr>
          <w:p>
            <w:r>
              <w:t>One of the EU's largest trade agreements, covering a combined EU-Mercosur market of ~780M people, substantial tariff savings expected</w:t>
            </w:r>
          </w:p>
        </w:tc>
      </w:tr>
    </w:tbl>
    <w:p/>
    <w:p>
      <w:r>
        <w:t>Reading the numbers, the EU-Australia deal comes across as a strategic play built to lock down critical resources and set up dependable supply networks over time. The EU-Mercosur deal takes a different shape. Its volume-based framework opens the door to large-scale agricultural trade and keeps operations running on a consistent, repeatable basis.</w:t>
      </w:r>
    </w:p>
    <w:p>
      <w:r>
        <w:t>Where these differences really show up is down at the level of the shipping lanes, the actual corridors carrying the cargo.</w:t>
      </w:r>
    </w:p>
    <w:p>
      <w:pPr>
        <w:pStyle w:val="Heading2"/>
      </w:pPr>
      <w:r>
        <w:t>Key Shipping Routes</w:t>
      </w:r>
    </w:p>
    <w:p>
      <w:r>
        <w:t>Here's how that breaks down, lane by lane.</w:t>
      </w:r>
    </w:p>
    <w:p>
      <w:r>
        <w:t>Mercosur flows sit on a fairly settled set of Atlantic routes:</w:t>
      </w:r>
    </w:p>
    <w:p>
      <w:pPr>
        <w:pStyle w:val="ListBullet"/>
      </w:pPr>
      <w:r>
        <w:t>Santos → Rotterdam / Antwerp (agriculture bulk + reefer containers)</w:t>
      </w:r>
    </w:p>
    <w:p>
      <w:pPr>
        <w:pStyle w:val="ListBullet"/>
      </w:pPr>
      <w:r>
        <w:t>Buenos Aires → Hamburg (food exports)</w:t>
      </w:r>
    </w:p>
    <w:p>
      <w:r>
        <w:t>Australia's trade runs the opposite kind of distance, long-haul lanes that stretch across half the globe:</w:t>
      </w:r>
    </w:p>
    <w:p>
      <w:pPr>
        <w:pStyle w:val="ListBullet"/>
      </w:pPr>
      <w:r>
        <w:t>Melbourne → Hamburg / Rotterdam (bulk + standard container)</w:t>
      </w:r>
    </w:p>
    <w:p>
      <w:pPr>
        <w:pStyle w:val="ListBullet"/>
      </w:pPr>
      <w:r>
        <w:t>Sydney → Northern Europe (long-haul container routes)</w:t>
      </w:r>
    </w:p>
    <w:p>
      <w:r>
        <w:t>Routing still isn't fixed on the Australia side: EU-Australia routes carry sensitivity to the Suez versus Cape of Good Hope decision, a variable that doesn't really apply to EU-Mercosur, where the Atlantic corridors stay comparatively steady.</w:t>
      </w:r>
    </w:p>
    <w:p>
      <w:r>
        <w:t>Next, the trade flows themselves, broken down by cargo type and mode.</w:t>
      </w:r>
    </w:p>
    <w:p>
      <w:pPr>
        <w:pStyle w:val="Heading2"/>
      </w:pPr>
      <w:r>
        <w:t>Trade Flow Structure</w:t>
      </w:r>
    </w:p>
    <w:p>
      <w:r>
        <w:t>The asymmetry between the two deals is baked into the cargo itself. Australia's side of the trade leans on raw materials moving under contract, steady but infrequent. Mercosur's side runs on volume and regularity, shipment after shipment.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Route</w:t>
            </w:r>
          </w:p>
        </w:tc>
        <w:tc>
          <w:tcPr>
            <w:tcW w:type="dxa" w:w="2160"/>
          </w:tcPr>
          <w:p>
            <w:r>
              <w:rPr>
                <w:b/>
              </w:rPr>
              <w:t>Cargo type</w:t>
            </w:r>
          </w:p>
        </w:tc>
        <w:tc>
          <w:tcPr>
            <w:tcW w:type="dxa" w:w="2160"/>
          </w:tcPr>
          <w:p>
            <w:r>
              <w:rPr>
                <w:b/>
              </w:rPr>
              <w:t>Mode</w:t>
            </w:r>
          </w:p>
        </w:tc>
        <w:tc>
          <w:tcPr>
            <w:tcW w:type="dxa" w:w="2160"/>
          </w:tcPr>
          <w:p>
            <w:r>
              <w:rPr>
                <w:b/>
              </w:rPr>
              <w:t>Shipment pattern</w:t>
            </w:r>
          </w:p>
        </w:tc>
      </w:tr>
      <w:tr>
        <w:tc>
          <w:tcPr>
            <w:tcW w:type="dxa" w:w="2160"/>
          </w:tcPr>
          <w:p>
            <w:r>
              <w:t>EU → Australia</w:t>
            </w:r>
          </w:p>
        </w:tc>
        <w:tc>
          <w:tcPr>
            <w:tcW w:type="dxa" w:w="2160"/>
          </w:tcPr>
          <w:p>
            <w:r>
              <w:t>Machinery</w:t>
            </w:r>
          </w:p>
        </w:tc>
        <w:tc>
          <w:tcPr>
            <w:tcW w:type="dxa" w:w="2160"/>
          </w:tcPr>
          <w:p>
            <w:r>
              <w:t>Standard Container</w:t>
            </w:r>
          </w:p>
        </w:tc>
        <w:tc>
          <w:tcPr>
            <w:tcW w:type="dxa" w:w="2160"/>
          </w:tcPr>
          <w:p>
            <w:r>
              <w:t>Low-frequency</w:t>
            </w:r>
          </w:p>
        </w:tc>
      </w:tr>
      <w:tr>
        <w:tc>
          <w:tcPr>
            <w:tcW w:type="dxa" w:w="2160"/>
          </w:tcPr>
          <w:p>
            <w:r>
              <w:t>Australia → EU</w:t>
            </w:r>
          </w:p>
        </w:tc>
        <w:tc>
          <w:tcPr>
            <w:tcW w:type="dxa" w:w="2160"/>
          </w:tcPr>
          <w:p>
            <w:r>
              <w:t>Lithium</w:t>
            </w:r>
          </w:p>
        </w:tc>
        <w:tc>
          <w:tcPr>
            <w:tcW w:type="dxa" w:w="2160"/>
          </w:tcPr>
          <w:p>
            <w:r>
              <w:t>Bulk</w:t>
            </w:r>
          </w:p>
        </w:tc>
        <w:tc>
          <w:tcPr>
            <w:tcW w:type="dxa" w:w="2160"/>
          </w:tcPr>
          <w:p>
            <w:r>
              <w:t>Large-volume</w:t>
            </w:r>
          </w:p>
        </w:tc>
      </w:tr>
      <w:tr>
        <w:tc>
          <w:tcPr>
            <w:tcW w:type="dxa" w:w="2160"/>
          </w:tcPr>
          <w:p>
            <w:r>
              <w:t>Mercosur → EU</w:t>
            </w:r>
          </w:p>
        </w:tc>
        <w:tc>
          <w:tcPr>
            <w:tcW w:type="dxa" w:w="2160"/>
          </w:tcPr>
          <w:p>
            <w:r>
              <w:t>Meat, grain</w:t>
            </w:r>
          </w:p>
        </w:tc>
        <w:tc>
          <w:tcPr>
            <w:tcW w:type="dxa" w:w="2160"/>
          </w:tcPr>
          <w:p>
            <w:r>
              <w:t>Reefer/Bulk</w:t>
            </w:r>
          </w:p>
        </w:tc>
        <w:tc>
          <w:tcPr>
            <w:tcW w:type="dxa" w:w="2160"/>
          </w:tcPr>
          <w:p>
            <w:r>
              <w:t>High-frequency</w:t>
            </w:r>
          </w:p>
        </w:tc>
      </w:tr>
      <w:tr>
        <w:tc>
          <w:tcPr>
            <w:tcW w:type="dxa" w:w="2160"/>
          </w:tcPr>
          <w:p>
            <w:r>
              <w:t>EU → Mercosur</w:t>
            </w:r>
          </w:p>
        </w:tc>
        <w:tc>
          <w:tcPr>
            <w:tcW w:type="dxa" w:w="2160"/>
          </w:tcPr>
          <w:p>
            <w:r>
              <w:t>Machinery</w:t>
            </w:r>
          </w:p>
        </w:tc>
        <w:tc>
          <w:tcPr>
            <w:tcW w:type="dxa" w:w="2160"/>
          </w:tcPr>
          <w:p>
            <w:r>
              <w:t>Standard Container</w:t>
            </w:r>
          </w:p>
        </w:tc>
        <w:tc>
          <w:tcPr>
            <w:tcW w:type="dxa" w:w="2160"/>
          </w:tcPr>
          <w:p>
            <w:r>
              <w:t>Regular</w:t>
            </w:r>
          </w:p>
        </w:tc>
      </w:tr>
    </w:tbl>
    <w:p/>
    <w:p>
      <w:r>
        <w:t>On top of the cargo mix, the two corridors balance loads differently. EU-Australia routes often run short on return cargo, which means carriers end up hauling empty containers back. EU-Mercosur routes keep a steadier two-way flow of boxes moving in both directions. That difference feeds straight into freight pricing and how efficiently capacity gets used.</w:t>
      </w:r>
    </w:p>
    <w:p>
      <w:pPr>
        <w:pStyle w:val="Heading2"/>
      </w:pPr>
      <w:r>
        <w:t>March 2026 Freight Rate Snapshot</w:t>
      </w:r>
    </w:p>
    <w:p>
      <w:r>
        <w:t>Rates move around based on which carrier is quoting, the time of year, and how much capacity is actually available on a given lane.</w:t>
      </w:r>
    </w:p>
    <w:p>
      <w:pPr>
        <w:pStyle w:val="Heading3"/>
      </w:pPr>
      <w:r>
        <w:t>EU → Australia tariffs</w:t>
      </w:r>
    </w:p>
    <w:p>
      <w:pPr>
        <w:pStyle w:val="ListBullet"/>
      </w:pPr>
      <w:r>
        <w:t>Rotterdam, NL → Sydney, AU: From $2,000</w:t>
      </w:r>
    </w:p>
    <w:p>
      <w:pPr>
        <w:pStyle w:val="ListBullet"/>
      </w:pPr>
      <w:r>
        <w:t>Antwerpen, BE → Darwin, AU: From $2,000</w:t>
      </w:r>
    </w:p>
    <w:p>
      <w:pPr>
        <w:pStyle w:val="ListBullet"/>
      </w:pPr>
      <w:r>
        <w:t>Barcelona, ES → Melbourne, AU: From $800</w:t>
      </w:r>
    </w:p>
    <w:p>
      <w:pPr>
        <w:pStyle w:val="ListBullet"/>
      </w:pPr>
      <w:r>
        <w:t>Marseille, FR → Brisbane, AU: From $2,000</w:t>
      </w:r>
    </w:p>
    <w:p>
      <w:pPr>
        <w:pStyle w:val="Heading3"/>
      </w:pPr>
      <w:r>
        <w:t>Australia → EU tariffs</w:t>
      </w:r>
    </w:p>
    <w:p>
      <w:pPr>
        <w:pStyle w:val="ListBullet"/>
      </w:pPr>
      <w:r>
        <w:t>Bell Bay, AU → Genova, IT: From $2,000</w:t>
      </w:r>
    </w:p>
    <w:p>
      <w:pPr>
        <w:pStyle w:val="ListBullet"/>
      </w:pPr>
      <w:r>
        <w:t>Melbourne, AU → Hamburg, DE: From $3,400</w:t>
      </w:r>
    </w:p>
    <w:p>
      <w:pPr>
        <w:pStyle w:val="ListBullet"/>
      </w:pPr>
      <w:r>
        <w:t>Melbourne, AU → Bremen, DE: From $2,900</w:t>
      </w:r>
    </w:p>
    <w:p>
      <w:pPr>
        <w:pStyle w:val="ListBullet"/>
      </w:pPr>
      <w:r>
        <w:t>Brisbane, AU → Thessaloniki, GR: From $2,000</w:t>
      </w:r>
    </w:p>
    <w:p>
      <w:pPr>
        <w:pStyle w:val="Heading3"/>
      </w:pPr>
      <w:r>
        <w:t>EU → Mercosur tariffs</w:t>
      </w:r>
    </w:p>
    <w:p>
      <w:pPr>
        <w:pStyle w:val="ListBullet"/>
      </w:pPr>
      <w:r>
        <w:t>Leixoes, PT → Santos, BR: From $1,200</w:t>
      </w:r>
    </w:p>
    <w:p>
      <w:pPr>
        <w:pStyle w:val="ListBullet"/>
      </w:pPr>
      <w:r>
        <w:t>Zeebgrugge, BE → Buenos Aires, AR: From $1,900</w:t>
      </w:r>
    </w:p>
    <w:p>
      <w:pPr>
        <w:pStyle w:val="ListBullet"/>
      </w:pPr>
      <w:r>
        <w:t>Burgos, ES → Buenos Aires, AR: From $2,400</w:t>
      </w:r>
    </w:p>
    <w:p>
      <w:pPr>
        <w:pStyle w:val="ListBullet"/>
      </w:pPr>
      <w:r>
        <w:t>Antwerpen, BE → Montevideo, UY: From $2,000</w:t>
      </w:r>
    </w:p>
    <w:p>
      <w:pPr>
        <w:pStyle w:val="Heading3"/>
      </w:pPr>
      <w:r>
        <w:t>Mercosur → EU tariffs</w:t>
      </w:r>
    </w:p>
    <w:p>
      <w:pPr>
        <w:pStyle w:val="ListBullet"/>
      </w:pPr>
      <w:r>
        <w:t>Santos, BR → Lisboa, PT: From $2,400</w:t>
      </w:r>
    </w:p>
    <w:p>
      <w:pPr>
        <w:pStyle w:val="ListBullet"/>
      </w:pPr>
      <w:r>
        <w:t>Santos, BR → Algeciras, ES: From $1,500</w:t>
      </w:r>
    </w:p>
    <w:p>
      <w:pPr>
        <w:pStyle w:val="ListBullet"/>
      </w:pPr>
      <w:r>
        <w:t>Buenos Aires, AR → Amsterdam, NL: From $2,200</w:t>
      </w:r>
    </w:p>
    <w:p>
      <w:pPr>
        <w:pStyle w:val="ListBullet"/>
      </w:pPr>
      <w:r>
        <w:t>Montevideo, UY → Antwerpen, BE: From $2,000</w:t>
      </w:r>
    </w:p>
    <w:p>
      <w:r>
        <w:t>EU-Mercosur lanes stay cost-efficient and comparatively stable. EU-Australia lanes run higher on cost and carry more volatility, largely a function of distance and the constant possibility of rerouting.</w:t>
      </w:r>
    </w:p>
    <w:p>
      <w:pPr>
        <w:pStyle w:val="Heading2"/>
      </w:pPr>
      <w:r>
        <w:t>Transit Time Variability</w:t>
      </w:r>
    </w:p>
    <w:p>
      <w:r>
        <w:t>Below is what the Suez route costs in time against the Cape of Good Hope alternative, lane by lane.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Trade route</w:t>
            </w:r>
          </w:p>
        </w:tc>
        <w:tc>
          <w:tcPr>
            <w:tcW w:type="dxa" w:w="2880"/>
          </w:tcPr>
          <w:p>
            <w:r>
              <w:rPr>
                <w:b/>
              </w:rPr>
              <w:t>Avg. delivery time (via Suez Canal)</w:t>
            </w:r>
          </w:p>
        </w:tc>
        <w:tc>
          <w:tcPr>
            <w:tcW w:type="dxa" w:w="2880"/>
          </w:tcPr>
          <w:p>
            <w:r>
              <w:rPr>
                <w:b/>
              </w:rPr>
              <w:t>Safe mode (bypassing via Cape of Good Hope)</w:t>
            </w:r>
          </w:p>
        </w:tc>
      </w:tr>
      <w:tr>
        <w:tc>
          <w:tcPr>
            <w:tcW w:type="dxa" w:w="2880"/>
          </w:tcPr>
          <w:p>
            <w:r>
              <w:t>Rotterdam, NL → Melbourne, AU</w:t>
            </w:r>
          </w:p>
        </w:tc>
        <w:tc>
          <w:tcPr>
            <w:tcW w:type="dxa" w:w="2880"/>
          </w:tcPr>
          <w:p>
            <w:r>
              <w:t>33 days</w:t>
            </w:r>
          </w:p>
        </w:tc>
        <w:tc>
          <w:tcPr>
            <w:tcW w:type="dxa" w:w="2880"/>
          </w:tcPr>
          <w:p>
            <w:r>
              <w:t>60 days</w:t>
            </w:r>
          </w:p>
        </w:tc>
      </w:tr>
      <w:tr>
        <w:tc>
          <w:tcPr>
            <w:tcW w:type="dxa" w:w="2880"/>
          </w:tcPr>
          <w:p>
            <w:r>
              <w:t>Gdynia, PL → Brisbane, AU</w:t>
            </w:r>
          </w:p>
        </w:tc>
        <w:tc>
          <w:tcPr>
            <w:tcW w:type="dxa" w:w="2880"/>
          </w:tcPr>
          <w:p>
            <w:r>
              <w:t>37 days</w:t>
            </w:r>
          </w:p>
        </w:tc>
        <w:tc>
          <w:tcPr>
            <w:tcW w:type="dxa" w:w="2880"/>
          </w:tcPr>
          <w:p>
            <w:r>
              <w:t>70 days</w:t>
            </w:r>
          </w:p>
        </w:tc>
      </w:tr>
      <w:tr>
        <w:tc>
          <w:tcPr>
            <w:tcW w:type="dxa" w:w="2880"/>
          </w:tcPr>
          <w:p>
            <w:r>
              <w:t>Genoa, IT → Sydney, AU</w:t>
            </w:r>
          </w:p>
        </w:tc>
        <w:tc>
          <w:tcPr>
            <w:tcW w:type="dxa" w:w="2880"/>
          </w:tcPr>
          <w:p>
            <w:r>
              <w:t>29 days</w:t>
            </w:r>
          </w:p>
        </w:tc>
        <w:tc>
          <w:tcPr>
            <w:tcW w:type="dxa" w:w="2880"/>
          </w:tcPr>
          <w:p>
            <w:r>
              <w:t>36 days</w:t>
            </w:r>
          </w:p>
        </w:tc>
      </w:tr>
      <w:tr>
        <w:tc>
          <w:tcPr>
            <w:tcW w:type="dxa" w:w="2880"/>
          </w:tcPr>
          <w:p>
            <w:r>
              <w:t>Marseille, FR → Santos, BR</w:t>
            </w:r>
          </w:p>
        </w:tc>
        <w:tc>
          <w:tcPr>
            <w:tcW w:type="dxa" w:w="2880"/>
          </w:tcPr>
          <w:p>
            <w:r>
              <w:t>15-33 days</w:t>
            </w:r>
          </w:p>
        </w:tc>
        <w:tc>
          <w:tcPr>
            <w:tcW w:type="dxa" w:w="2880"/>
          </w:tcPr>
          <w:p>
            <w:r>
              <w:t>N/A</w:t>
            </w:r>
          </w:p>
        </w:tc>
      </w:tr>
      <w:tr>
        <w:tc>
          <w:tcPr>
            <w:tcW w:type="dxa" w:w="2880"/>
          </w:tcPr>
          <w:p>
            <w:r>
              <w:t>Lisbon, PT → Montevideo, UY</w:t>
            </w:r>
          </w:p>
        </w:tc>
        <w:tc>
          <w:tcPr>
            <w:tcW w:type="dxa" w:w="2880"/>
          </w:tcPr>
          <w:p>
            <w:r>
              <w:t>15-33 days</w:t>
            </w:r>
          </w:p>
        </w:tc>
        <w:tc>
          <w:tcPr>
            <w:tcW w:type="dxa" w:w="2880"/>
          </w:tcPr>
          <w:p>
            <w:r>
              <w:t>N/A</w:t>
            </w:r>
          </w:p>
        </w:tc>
      </w:tr>
      <w:tr>
        <w:tc>
          <w:tcPr>
            <w:tcW w:type="dxa" w:w="2880"/>
          </w:tcPr>
          <w:p>
            <w:r>
              <w:t>Bremerhaven, DE → Buenos Aires, AR</w:t>
            </w:r>
          </w:p>
        </w:tc>
        <w:tc>
          <w:tcPr>
            <w:tcW w:type="dxa" w:w="2880"/>
          </w:tcPr>
          <w:p>
            <w:r>
              <w:t>19-30 days</w:t>
            </w:r>
          </w:p>
        </w:tc>
        <w:tc>
          <w:tcPr>
            <w:tcW w:type="dxa" w:w="2880"/>
          </w:tcPr>
          <w:p>
            <w:r>
              <w:t>N/A</w:t>
            </w:r>
          </w:p>
        </w:tc>
      </w:tr>
    </w:tbl>
    <w:p/>
    <w:p>
      <w:r>
        <w:t>Source: SeaRates Distance &amp; Time Calculator</w:t>
      </w:r>
    </w:p>
    <w:p>
      <w:r>
        <w:t>These two agreements pull at the market from different directions. Shipments overall are getting more fragmented and more specialized, stretching from long-haul mineral cargo down to high-frequency reefer runs, and that brings real pressure on routing decisions and tighter cost control. Tracking where a container actually sits gets harder too.</w:t>
      </w:r>
    </w:p>
    <w:p>
      <w:r>
        <w:t>SeaRates works with shippers navigating exactly this kind of shift. Email sales@searates.com if you want help locking in capacity and keeping your delivery timelines on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