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Dock Worker Injuries: Risks, Claims, and Recovery</w:t>
      </w:r>
    </w:p>
    <w:p>
      <w:r>
        <w:rPr>
          <w:i/>
          <w:sz w:val="18"/>
        </w:rPr>
        <w:t>Meta title: Dock Worker Injuries and Workers Comp Guide</w:t>
        <w:br/>
      </w:r>
      <w:r>
        <w:rPr>
          <w:i/>
          <w:sz w:val="18"/>
        </w:rPr>
        <w:t>Meta description: Dock work is hazardous. Learn common dock worker injuries, why a workers comp claim gets denied, and what benefits can cover during recovery.</w:t>
      </w:r>
    </w:p>
    <w:p>
      <w:r>
        <w:t>Every shelf in every store sits on someone's back. That sounds dramatic until you spend a shift on a loading dock, where forklifts squeeze through tight lanes, trucks back into bays on a schedule, and a crate can slide off a pile with no warning at all. Dock work keeps goods moving across domestic and international freight networks, and it ranks among the most dangerous roles in the freight business, between the machinery, the unstable cargo, and the schedules that never slip in the workers' favor. Nobody who spends their days on a dock should treat an accident as unthinkable.</w:t>
      </w:r>
    </w:p>
    <w:p>
      <w:r>
        <w:t>The paperwork side is where things get messy. Workers compensation exists to pay for treatment, supplies, and lost income, and an injured dock worker dealing with a back injury, crush trauma, or a fall may qualify for doctor appointments, medication, therapy sessions, and a partial paycheck while recovering. Benefits can also reach those unable to resume full duty or needing modified tasks. Yet a workers comp claim denied over a dispute about whether the injury was truly work related leaves a family juggling medical bills with no help coming. Employers sometimes argue safety protocols were followed. Some plans reimburse only the economic side, so pain, emotional strain, and a diminished quality of life go uncompensated entirely. And as freight operations stretch into international markets, injuries involving outside shipping companies or contractors add another layer of complication. In situations like that it is worth talking to someone who knows this territory before signing anything.</w:t>
      </w:r>
    </w:p>
    <w:p>
      <w:r>
        <w:t>The injuries themselves split into two kinds of timelines. Sudden ones announce themselves: a worker caught between trailer and platform, a forklift tipping off the dock edge, a vehicle collision producing broken limbs, head trauma, spinal cord damage, sometimes amputation. Surgery follows, then months of rehabilitation, occasionally permanent disability. The slow kind creeps. Lift heavy freight daily, twist while carrying boxes, shove loaded pallets over uneven flooring, and repetitive strain eventually inflames joints, weakens muscles, and damages nerves. The pain starts mild. Then simple tasks become impossible. Exposure adds its own quiet toll, since diesel exhaust idling near trucks and vessels, chemicals leaking out of international containers, or irritants in packaged goods can trigger respiratory illness or skin burns.</w:t>
      </w:r>
    </w:p>
    <w:p>
      <w:r>
        <w:t>None of this even accounts for falls, which deserve their own accounting. Water, oil, ice, worn dock boards; any of them can drop a worker mid-lift. A loading dock fall involves several feet of elevation, and a short drop is enough for broken bones or lasting mobility problems. Dim light and cramped work zones make it worse.</w:t>
      </w:r>
    </w:p>
    <w:p>
      <w:r>
        <w:t>Older facilities with inconsistent maintenance carry electrical hazards and failing equipment on top of everything else, and workers who know these risks going in are better placed to avoid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