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Ultra-Deepwater vs Ultra-Large: Ocean Depth or Trade Scale</w:t>
      </w:r>
    </w:p>
    <w:p>
      <w:r>
        <w:rPr>
          <w:i/>
          <w:color w:val="646464"/>
          <w:sz w:val="18"/>
        </w:rPr>
        <w:t>Meta Title: Ultra-Deepwater vs Ultra-Large Vessels: Ocean Depth &amp; Scale</w:t>
      </w:r>
    </w:p>
    <w:p>
      <w:r>
        <w:rPr>
          <w:i/>
          <w:color w:val="646464"/>
          <w:sz w:val="18"/>
        </w:rPr>
        <w:t>Meta Description: Understand the differences between Ultra-Deepwater vessels and Ultra-Large container ships. Reach sales@searates.com to optimize your supply chain.</w:t>
      </w:r>
    </w:p>
    <w:p/>
    <w:p>
      <w:r>
        <w:t>Industry discussions frequently confuse Ultra-Deepwater vessels with Ultra-Large Container Vessels. Marketing materials often apply the term deepwater to both categories. For Ultra-Deepwater ships, the phrase describes operations in deep ocean waters. For Ultra-Large Container Vessels, deepwater points to the deep draft requirements of major seaport berths. These two vessel classes fulfill separate functions across global supply networks.</w:t>
      </w:r>
    </w:p>
    <w:p>
      <w:pPr>
        <w:pStyle w:val="Heading3"/>
      </w:pPr>
      <w:r>
        <w:t>Technical Profile of Ultra-Deepwater Vessels</w:t>
      </w:r>
    </w:p>
    <w:p>
      <w:r>
        <w:t>Ultra-Deepwater vessels form a specialized fleet class that includes drillships, semi-submersibles, and construction vessels. These ships do not handle container freight, focusing instead on offshore energy development and subsea installation projects.</w:t>
      </w:r>
    </w:p>
    <w:p>
      <w:r>
        <w:t>Key technical specifications include:</w:t>
      </w:r>
    </w:p>
    <w:p>
      <w:pPr>
        <w:pStyle w:val="ListBullet"/>
      </w:pPr>
      <w:r>
        <w:t>Average length: 150-250 m</w:t>
      </w:r>
    </w:p>
    <w:p>
      <w:pPr>
        <w:pStyle w:val="ListBullet"/>
      </w:pPr>
      <w:r>
        <w:t>Vessel draft: 10-15 m</w:t>
      </w:r>
    </w:p>
    <w:p>
      <w:pPr>
        <w:pStyle w:val="ListBullet"/>
      </w:pPr>
      <w:r>
        <w:t>Deadweight tonnage: 50,000-100,000 t</w:t>
      </w:r>
    </w:p>
    <w:p>
      <w:pPr>
        <w:pStyle w:val="ListBullet"/>
      </w:pPr>
      <w:r>
        <w:t>Primary operating depth: 2,000-3,600+ m</w:t>
      </w:r>
    </w:p>
    <w:p>
      <w:r>
        <w:t>Energy markets in 2025 rely on these capabilities across several operational areas. Oil and gas continue to function as a transitional fuel during the shift toward green energy, making deepwater extraction a stable alternative to overland pipelines across volatile regions. Offshore energy installations require subsea power cables and foundations, while expanding digital networks demand intercontinental internet cables for 5G/6G coverage.</w:t>
      </w:r>
    </w:p>
    <w:p>
      <w:r>
        <w:t>Depletion of easily accessible energy reserves has accelerated shelf investments in Brazil, Guyana, and East Africa. Meeting Asian and European demand in the expanding liquefied natural gas market requires specialized drilling ships for underwater infrastructure. High demand keeps daily rental rates above $400-500 thousand per day, with fleet supply lagging behind market needs. High day rates reflect high-tech equipment suites including remotely operated vehicles (ROVs), automated drilling diagnostics alongside self-navigating subsea drones, and highly qualified engineering crews.</w:t>
      </w:r>
    </w:p>
    <w:p>
      <w:r>
        <w:t>Geopolitical interest in deepwater assets continues to grow as melting Arctic glaciers create new maritime passages. Global powers such as China, Brazil, European nations, and the US compete for access to offshore fields while working to protect subsea pipelines. Seabed mining trials in 2025 focus on extracting rare earth metals such as nodules, cobalt, and nickel to support microelectronics, battery production, and renewable energy manufacturing.</w:t>
      </w:r>
    </w:p>
    <w:p>
      <w:pPr>
        <w:pStyle w:val="Heading3"/>
      </w:pPr>
      <w:r>
        <w:t>Characteristics of Ultra-Large Container Vessels</w:t>
      </w:r>
    </w:p>
    <w:p>
      <w:r>
        <w:t>Ultra-Large Container Vessels represent the largest cargo ships moving international freight. Designed for high-volume consumer trade routes, these mega vessels operate primarily between major primary port hubs.</w:t>
      </w:r>
    </w:p>
    <w:p>
      <w:r>
        <w:t>Key technical specifications include:</w:t>
      </w:r>
    </w:p>
    <w:p>
      <w:pPr>
        <w:pStyle w:val="ListBullet"/>
      </w:pPr>
      <w:r>
        <w:t>Maximum length: up to 400 m (spanning approximately four football fields)</w:t>
      </w:r>
    </w:p>
    <w:p>
      <w:pPr>
        <w:pStyle w:val="ListBullet"/>
      </w:pPr>
      <w:r>
        <w:t>Vessel draft: 16-17 m</w:t>
      </w:r>
    </w:p>
    <w:p>
      <w:pPr>
        <w:pStyle w:val="ListBullet"/>
      </w:pPr>
      <w:r>
        <w:t>Cargo capacity: 20,000-24,000 TEU</w:t>
      </w:r>
    </w:p>
    <w:p>
      <w:pPr>
        <w:pStyle w:val="ListBullet"/>
      </w:pPr>
      <w:r>
        <w:t>Deadweight tonnage: up to 220,000 tons</w:t>
      </w:r>
    </w:p>
    <w:p>
      <w:r>
        <w:t>ULCV operations deliver economies of scale by minimizing the transport cost per TEU, supporting just-in-time e-commerce shipments across major east-west corridors connecting Asia to Europe and North America. Moving larger cargo volumes on single voyages helps shipping lines meet strict IMO decarbonization regulations, achieving lower per-container emissions than smaller vessels. Modern ULCVs incorporate LNG diesel engines alongside energy efficiency control systems.</w:t>
      </w:r>
    </w:p>
    <w:p>
      <w:r>
        <w:t>Automated operations at automated maritime hubs including Rotterdam, Shanghai, and Singapore utilize digital logistics architecture, real-time cargo tracking, ETA forecasts, and AI predictive analytics. When disruptions occur across critical transit points like the Suez Canal, Red Sea, Straits of Hormuz, or Taiwan Strait, ULCVs possess the range to complete extended detour routes without excessive operational costs. Consequently, major maritime nations in Europe, China, and South Korea invest heavily in ULCV fleets.</w:t>
      </w:r>
    </w:p>
    <w:p>
      <w:r>
        <w:t>Because these massive ships require substantial port depth and extensive container yard capacity, global trade relies on a hub-and-spoke model. Major regional ports invest billions in infrastructure upgrades, while shippers book early capacity to prevent post-pandemic container shortages. Capital requirements remain intense, concentrating market control among the top 10 shipping lines that manage over 85% of global container traffic.</w:t>
      </w:r>
    </w:p>
    <w:p>
      <w:r>
        <w:t>Understanding these operational differences helps supply chain planners choose appropriate maritime services. To evaluate tailored freight options and optimize your shipping strategy, contact sales@searates.com.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