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40"/>
        </w:rPr>
        <w:t>SeaRates August 2025 Release: Multi-Carrier API &amp; Tools</w:t>
      </w:r>
    </w:p>
    <w:p>
      <w:r>
        <w:rPr>
          <w:rFonts w:ascii="Arial" w:hAnsi="Arial"/>
          <w:i/>
          <w:sz w:val="18"/>
        </w:rPr>
        <w:t>Meta Title: SeaRates Updates (Aug 2025): Tracking &amp; Demurrage Tools</w:t>
        <w:br/>
        <w:t>Meta Description: Explore SeaRates' August 2025 updates featuring new tracking integrations, demurrage and detention tariffs, AI API docs, and flight schedules.</w:t>
        <w:br/>
      </w:r>
    </w:p>
    <w:p>
      <w:r>
        <w:rPr>
          <w:rFonts w:ascii="Arial" w:hAnsi="Arial"/>
          <w:sz w:val="22"/>
        </w:rPr>
        <w:t>Connecting your CRM, TMS, or ERP directly to SeaRates AI is now straightforward with newly published API documentation on the Developer Portal. Alongside the new docs, speed and data processing improvements went live for both the Distance &amp; Time and Freight Index tools, driving faster logistics automation across everyday operations.</w:t>
      </w:r>
    </w:p>
    <w:p>
      <w:pPr>
        <w:pStyle w:val="Heading2"/>
      </w:pPr>
      <w:r>
        <w:rPr>
          <w:rFonts w:ascii="Arial" w:hAnsi="Arial"/>
          <w:b/>
          <w:sz w:val="28"/>
        </w:rPr>
        <w:t>Container, Air, and Rail Tracking Expansions</w:t>
      </w:r>
    </w:p>
    <w:p>
      <w:r>
        <w:rPr>
          <w:rFonts w:ascii="Arial" w:hAnsi="Arial"/>
          <w:sz w:val="22"/>
        </w:rPr>
        <w:t>Four new ocean carriers join the tracking network: SACO Shipping Line, PT. Indo Container Lines (ICON), Consort Express Lines, and Pyramid Lines Singapore. The multi-carrier tracking API now covers 213 ocean shipping lines in total. Within the Container Tracking API, the Autodetect service includes a data relevance checker, refined vessel and AIS data retrieval, and updated status determination logic to give teams sharper supply chain transparency. Web tool users will also notice a new tooltip tracking their monthly limit.</w:t>
      </w:r>
    </w:p>
    <w:p>
      <w:r>
        <w:rPr>
          <w:rFonts w:ascii="Arial" w:hAnsi="Arial"/>
          <w:sz w:val="22"/>
        </w:rPr>
        <w:t>Air freight tracking extends coverage to 445 total airlines after adding Corendon Airlines and Surinam Airways. Developers using the Air Tracking API documentation can now work with the new logistics event status code 'RFF (Removed from Flight)'.</w:t>
      </w:r>
    </w:p>
    <w:p>
      <w:r>
        <w:rPr>
          <w:rFonts w:ascii="Arial" w:hAnsi="Arial"/>
          <w:sz w:val="22"/>
        </w:rPr>
        <w:t>On the rails, the Rail Tracking API adds support for Container Corporation of India (CONCOR), bringing total rail carrier coverage to five.</w:t>
      </w:r>
    </w:p>
    <w:p>
      <w:pPr>
        <w:pStyle w:val="Heading2"/>
      </w:pPr>
      <w:r>
        <w:rPr>
          <w:rFonts w:ascii="Arial" w:hAnsi="Arial"/>
          <w:b/>
          <w:sz w:val="28"/>
        </w:rPr>
        <w:t>Ocean and Air Schedules</w:t>
      </w:r>
    </w:p>
    <w:p>
      <w:r>
        <w:rPr>
          <w:rFonts w:ascii="Arial" w:hAnsi="Arial"/>
          <w:sz w:val="22"/>
        </w:rPr>
        <w:t>Schedules expand across both ocean and air routes. Ocean schedule coverage adds Neptune Pacific Direct Line and Jin Jiang Shipping by Points, alongside HASCO by Vessel. The vessel database gained 352 vessels from 19 global shipping lines.</w:t>
      </w:r>
    </w:p>
    <w:p>
      <w:r>
        <w:rPr>
          <w:rFonts w:ascii="Arial" w:hAnsi="Arial"/>
          <w:sz w:val="22"/>
        </w:rPr>
        <w:t>Flight schedules now incorporate routing details for American Airlines, Amerijet International, Qatar Airways, and Turkish Airlines.</w:t>
      </w:r>
    </w:p>
    <w:p>
      <w:pPr>
        <w:pStyle w:val="Heading2"/>
      </w:pPr>
      <w:r>
        <w:rPr>
          <w:rFonts w:ascii="Arial" w:hAnsi="Arial"/>
          <w:b/>
          <w:sz w:val="28"/>
        </w:rPr>
        <w:t>Demurrage &amp; Storage Calculations</w:t>
      </w:r>
    </w:p>
    <w:p>
      <w:r>
        <w:rPr>
          <w:rFonts w:ascii="Arial" w:hAnsi="Arial"/>
          <w:sz w:val="22"/>
        </w:rPr>
        <w:t>Tariff estimation gets simpler inside the Demurrage &amp; Storage Calculator. The tool now calculates demurrage and storage tariffs for CMA, COSCO, and Hapag-Lloyd. A new automatic calculation mode estimates costs directly from published shipping line demurrage and detention tariffs.</w:t>
      </w:r>
    </w:p>
    <w:p>
      <w:pPr>
        <w:pStyle w:val="Heading2"/>
      </w:pPr>
      <w:r>
        <w:rPr>
          <w:rFonts w:ascii="Arial" w:hAnsi="Arial"/>
          <w:b/>
          <w:sz w:val="28"/>
        </w:rPr>
        <w:t>Platform and Portal Refinements</w:t>
      </w:r>
    </w:p>
    <w:p>
      <w:r>
        <w:rPr>
          <w:rFonts w:ascii="Arial" w:hAnsi="Arial"/>
          <w:sz w:val="22"/>
        </w:rPr>
        <w:t>Visual updates refresh both the Cargoes and Transport tabs in the Logistics Map tool. For the Booking System, synchronization between booking data and CRM systems operates with improved accuracy. Inside the Rate Management System, transit times now calculate automatically based on selected route and carrier data during rate creation and updates. Finally, the SeaRates Developer Portal features a cleaner design and improved search capability when searching by "rate limit" requests across SeaRates APIs.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