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Logistics Bottlenecks Drive Commodity Price Swings</w:t>
      </w:r>
    </w:p>
    <w:p>
      <w:r>
        <w:rPr>
          <w:i/>
          <w:sz w:val="18"/>
        </w:rPr>
        <w:t>Meta Title: Why Freight Bottlenecks Move Commodity Prices in 2026</w:t>
      </w:r>
    </w:p>
    <w:p>
      <w:r>
        <w:rPr>
          <w:i/>
          <w:sz w:val="18"/>
        </w:rPr>
        <w:t>Meta Description: Port congestion and corridor bottlenecks are driving commodity price swings in 2026. How CIF pricing and freight rates connect.</w:t>
      </w:r>
    </w:p>
    <w:p/>
    <w:p>
      <w:r>
        <w:t>Rice prices don't usually move eleven percent in a matter of weeks, but that's exactly what happened in February 2026, and it wasn't really about rice.</w:t>
      </w:r>
    </w:p>
    <w:p>
      <w:r>
        <w:t>Agricultural and bulk commodity production for 2026 is expected to hold at current levels, forecasts suggest. The price line on the chart won't be nearly as flat, though. Volatility keeps showing up, and increasingly it traces back to logistics rather than harvests. February gave a clean example: global rice prices jumped 11%, while US ports and railways absorbed growing pressure on freight transport. The effects reached trade patterns, corridor capacity worldwide, and pricing systems regional markets had come to rely on.</w:t>
      </w:r>
    </w:p>
    <w:p>
      <w:r>
        <w:t>This piece walks through why the link between shipping capacity and commodity pricing keeps getting tighter.</w:t>
      </w:r>
    </w:p>
    <w:p>
      <w:pPr>
        <w:pStyle w:val="Heading2"/>
      </w:pPr>
      <w:r>
        <w:t>Why bottlenecks move commodity prices</w:t>
      </w:r>
    </w:p>
    <w:p>
      <w:pPr>
        <w:pStyle w:val="Heading3"/>
      </w:pPr>
      <w:r>
        <w:t>Market trigger</w:t>
      </w:r>
    </w:p>
    <w:p>
      <w:r>
        <w:t>Mid-February 2026, the rice market moved 11% higher. Three things pushed it there: policy changes on the export side, an uptick in import demand, and a burst of trading activity. Production stayed level, but the pace changed, fast flows and tightly compressed contracting that moved faster than the system could process them.</w:t>
      </w:r>
    </w:p>
    <w:p>
      <w:pPr>
        <w:pStyle w:val="Heading3"/>
      </w:pPr>
      <w:r>
        <w:t>Capacity constraint</w:t>
      </w:r>
    </w:p>
    <w:p>
      <w:r>
        <w:t>Trade volumes then shifted toward particular export corridors, an attempt to dodge the steeper delivery costs tied to higher commodity prices. Alternative routes started running into their own ceilings. Backup capacity exists, but not in the quantities needed to absorb a sudden spike without friction.</w:t>
      </w:r>
    </w:p>
    <w:p>
      <w:pPr>
        <w:pStyle w:val="Heading3"/>
      </w:pPr>
      <w:r>
        <w:t>Cost transmission</w:t>
      </w:r>
    </w:p>
    <w:p>
      <w:r>
        <w:t>Congestion built. Freight rates climbed, delivery times stretched out. Because most commodity deals are priced as FOB plus freight, a rise in transport cost feeds straight into the CIF number. The base commodity price doesn't have to move for the delivered cost to go up.</w:t>
      </w:r>
    </w:p>
    <w:p>
      <w:pPr>
        <w:pStyle w:val="Heading3"/>
      </w:pPr>
      <w:r>
        <w:t>Market impact</w:t>
      </w:r>
    </w:p>
    <w:p>
      <w:r>
        <w:t>Regional competitiveness starts shifting once delivery costs rise and fulfillment capacity tightens. Traders reroute their flows, with premiums appearing for faster delivery, and spreads between regions widen as a result.</w:t>
      </w:r>
    </w:p>
    <w:p>
      <w:r>
        <w:t>Logistics doesn't really set commodity prices so much as shape how those prices adjust, through the operational headroom, or lack of it, in trade corridors.</w:t>
      </w:r>
    </w:p>
    <w:p>
      <w:r>
        <w:t>Put simply, a wave of trade activity clogs the corridors, which pushes freight rates up, which then works its way into the CIF number, and prices across regions start to pull apart.</w:t>
      </w:r>
    </w:p>
    <w:p>
      <w:r>
        <w:t>Early trading in 2026 put that chain under real pressure. Heavier purchasing and export adjustments hit logistics capacity and raw material prices directly. Pressure on freight transport varied a lot by corridor. Routes tied to major agricultural export hubs saw the sharpest rate increases. Secondary corridors held up better, staying close to their usual range.</w:t>
      </w:r>
    </w:p>
    <w:p>
      <w:pPr>
        <w:pStyle w:val="Heading2"/>
      </w:pPr>
      <w:r>
        <w:t>Where do the bottlenecks actually build?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 of the system</w:t>
            </w:r>
          </w:p>
        </w:tc>
        <w:tc>
          <w:tcPr>
            <w:tcW w:type="dxa" w:w="2880"/>
          </w:tcPr>
          <w:p>
            <w:r>
              <w:rPr>
                <w:b/>
              </w:rPr>
              <w:t>Where the pressure lands</w:t>
            </w:r>
          </w:p>
        </w:tc>
        <w:tc>
          <w:tcPr>
            <w:tcW w:type="dxa" w:w="2880"/>
          </w:tcPr>
          <w:p>
            <w:r>
              <w:rPr>
                <w:b/>
              </w:rPr>
              <w:t>Effect on commodity trade</w:t>
            </w:r>
          </w:p>
        </w:tc>
      </w:tr>
      <w:tr>
        <w:tc>
          <w:tcPr>
            <w:tcW w:type="dxa" w:w="2880"/>
          </w:tcPr>
          <w:p>
            <w:r>
              <w:t>Inland rail and trucking</w:t>
            </w:r>
          </w:p>
        </w:tc>
        <w:tc>
          <w:tcPr>
            <w:tcW w:type="dxa" w:w="2880"/>
          </w:tcPr>
          <w:p>
            <w:r>
              <w:t>Strain builds when seasonal demand spikes or trade flows suddenly shift</w:t>
            </w:r>
          </w:p>
        </w:tc>
        <w:tc>
          <w:tcPr>
            <w:tcW w:type="dxa" w:w="2880"/>
          </w:tcPr>
          <w:p>
            <w:r>
              <w:t>Ports receive shipments later, and moving goods inland costs more</w:t>
            </w:r>
          </w:p>
        </w:tc>
      </w:tr>
      <w:tr>
        <w:tc>
          <w:tcPr>
            <w:tcW w:type="dxa" w:w="2880"/>
          </w:tcPr>
          <w:p>
            <w:r>
              <w:t>Port throughput</w:t>
            </w:r>
          </w:p>
        </w:tc>
        <w:tc>
          <w:tcPr>
            <w:tcW w:type="dxa" w:w="2880"/>
          </w:tcPr>
          <w:p>
            <w:r>
              <w:t>Berth slots and loading windows come under strain</w:t>
            </w:r>
          </w:p>
        </w:tc>
        <w:tc>
          <w:tcPr>
            <w:tcW w:type="dxa" w:w="2880"/>
          </w:tcPr>
          <w:p>
            <w:r>
              <w:t>Cargo waits longer, and shipments get delayed</w:t>
            </w:r>
          </w:p>
        </w:tc>
      </w:tr>
      <w:tr>
        <w:tc>
          <w:tcPr>
            <w:tcW w:type="dxa" w:w="2880"/>
          </w:tcPr>
          <w:p>
            <w:r>
              <w:t>Trade corridors</w:t>
            </w:r>
          </w:p>
        </w:tc>
        <w:tc>
          <w:tcPr>
            <w:tcW w:type="dxa" w:w="2880"/>
          </w:tcPr>
          <w:p>
            <w:r>
              <w:t>Backup routes get overloaded once flows redirect</w:t>
            </w:r>
          </w:p>
        </w:tc>
        <w:tc>
          <w:tcPr>
            <w:tcW w:type="dxa" w:w="2880"/>
          </w:tcPr>
          <w:p>
            <w:r>
              <w:t>Rates jump sharply, corridors fall out of balance</w:t>
            </w:r>
          </w:p>
        </w:tc>
      </w:tr>
      <w:tr>
        <w:tc>
          <w:tcPr>
            <w:tcW w:type="dxa" w:w="2880"/>
          </w:tcPr>
          <w:p>
            <w:r>
              <w:t>Infrastructure elasticity</w:t>
            </w:r>
          </w:p>
        </w:tc>
        <w:tc>
          <w:tcPr>
            <w:tcW w:type="dxa" w:w="2880"/>
          </w:tcPr>
          <w:p>
            <w:r>
              <w:t>Older networks with little room left to expand</w:t>
            </w:r>
          </w:p>
        </w:tc>
        <w:tc>
          <w:tcPr>
            <w:tcW w:type="dxa" w:w="2880"/>
          </w:tcPr>
          <w:p>
            <w:r>
              <w:t>Systems have less capacity to handle sudden volume spikes</w:t>
            </w:r>
          </w:p>
        </w:tc>
      </w:tr>
    </w:tbl>
    <w:p/>
    <w:p>
      <w:r>
        <w:t>Pressure rarely stays contained to one layer for long. Once it builds somewhere, pricing across the whole chain tends to feel it.</w:t>
      </w:r>
    </w:p>
    <w:p>
      <w:pPr>
        <w:pStyle w:val="Heading2"/>
      </w:pPr>
      <w:r>
        <w:t>What freight rates do to commodity pricing</w:t>
      </w:r>
    </w:p>
    <w:p>
      <w:r>
        <w:t>FOB plus freight is still the dominant pricing structure for commodity trades, so any shift in transport cost lands directly in CIF pricing and export parity math. As routes change hands, regional spreads move, and commodity prices follow along behind them.</w:t>
      </w:r>
    </w:p>
    <w:p>
      <w:r>
        <w:t>Small freight movements can carry outsized weight on delivered pricing. Take grain priced at $250 per metric ton FOB: add $10 per metric ton in extra corridor freight, and the delivery cost rises by roughly 4%, with the underlying commodity price untouched. This kind of swing can happen again when supply chains get disrupted.</w:t>
      </w:r>
    </w:p>
    <w:p>
      <w:pPr>
        <w:pStyle w:val="Heading2"/>
      </w:pPr>
      <w:r>
        <w:t>Current freight numbers on the corridors that matter here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Trade corridor</w:t>
            </w:r>
          </w:p>
        </w:tc>
        <w:tc>
          <w:tcPr>
            <w:tcW w:type="dxa" w:w="1728"/>
          </w:tcPr>
          <w:p>
            <w:r>
              <w:rPr>
                <w:b/>
              </w:rPr>
              <w:t>Sea route</w:t>
            </w:r>
          </w:p>
        </w:tc>
        <w:tc>
          <w:tcPr>
            <w:tcW w:type="dxa" w:w="1728"/>
          </w:tcPr>
          <w:p>
            <w:r>
              <w:rPr>
                <w:b/>
              </w:rPr>
              <w:t>Typical commodity flow</w:t>
            </w:r>
          </w:p>
        </w:tc>
        <w:tc>
          <w:tcPr>
            <w:tcW w:type="dxa" w:w="1728"/>
          </w:tcPr>
          <w:p>
            <w:r>
              <w:rPr>
                <w:b/>
              </w:rPr>
              <w:t>Freight rate</w:t>
            </w:r>
          </w:p>
        </w:tc>
        <w:tc>
          <w:tcPr>
            <w:tcW w:type="dxa" w:w="1728"/>
          </w:tcPr>
          <w:p>
            <w:r>
              <w:rPr>
                <w:b/>
              </w:rPr>
              <w:t>What's driving it</w:t>
            </w:r>
          </w:p>
        </w:tc>
      </w:tr>
      <w:tr>
        <w:tc>
          <w:tcPr>
            <w:tcW w:type="dxa" w:w="1728"/>
          </w:tcPr>
          <w:p>
            <w:r>
              <w:t>Black Sea to Mediterranean</w:t>
            </w:r>
          </w:p>
        </w:tc>
        <w:tc>
          <w:tcPr>
            <w:tcW w:type="dxa" w:w="1728"/>
          </w:tcPr>
          <w:p>
            <w:r>
              <w:t>Batumi, GE to Valencia, ES</w:t>
            </w:r>
          </w:p>
        </w:tc>
        <w:tc>
          <w:tcPr>
            <w:tcW w:type="dxa" w:w="1728"/>
          </w:tcPr>
          <w:p>
            <w:r>
              <w:t>Grain</w:t>
            </w:r>
          </w:p>
        </w:tc>
        <w:tc>
          <w:tcPr>
            <w:tcW w:type="dxa" w:w="1728"/>
          </w:tcPr>
          <w:p>
            <w:r>
              <w:t>From $880</w:t>
            </w:r>
          </w:p>
        </w:tc>
        <w:tc>
          <w:tcPr>
            <w:tcW w:type="dxa" w:w="1728"/>
          </w:tcPr>
          <w:p>
            <w:r>
              <w:t>Export flow tied to the season</w:t>
            </w:r>
          </w:p>
        </w:tc>
      </w:tr>
      <w:tr>
        <w:tc>
          <w:tcPr>
            <w:tcW w:type="dxa" w:w="1728"/>
          </w:tcPr>
          <w:p>
            <w:r>
              <w:t>US Gulf to Asia</w:t>
            </w:r>
          </w:p>
        </w:tc>
        <w:tc>
          <w:tcPr>
            <w:tcW w:type="dxa" w:w="1728"/>
          </w:tcPr>
          <w:p>
            <w:r>
              <w:t>Houston, US to Pusan, KR</w:t>
            </w:r>
          </w:p>
        </w:tc>
        <w:tc>
          <w:tcPr>
            <w:tcW w:type="dxa" w:w="1728"/>
          </w:tcPr>
          <w:p>
            <w:r>
              <w:t>Soy / Grain</w:t>
            </w:r>
          </w:p>
        </w:tc>
        <w:tc>
          <w:tcPr>
            <w:tcW w:type="dxa" w:w="1728"/>
          </w:tcPr>
          <w:p>
            <w:r>
              <w:t>From $2000</w:t>
            </w:r>
          </w:p>
        </w:tc>
        <w:tc>
          <w:tcPr>
            <w:tcW w:type="dxa" w:w="1728"/>
          </w:tcPr>
          <w:p>
            <w:r>
              <w:t>Importers buying with urgency</w:t>
            </w:r>
          </w:p>
        </w:tc>
      </w:tr>
      <w:tr>
        <w:tc>
          <w:tcPr>
            <w:tcW w:type="dxa" w:w="1728"/>
          </w:tcPr>
          <w:p>
            <w:r>
              <w:t>Brazil to China</w:t>
            </w:r>
          </w:p>
        </w:tc>
        <w:tc>
          <w:tcPr>
            <w:tcW w:type="dxa" w:w="1728"/>
          </w:tcPr>
          <w:p>
            <w:r>
              <w:t>Santos, BR to Shanghai, CN</w:t>
            </w:r>
          </w:p>
        </w:tc>
        <w:tc>
          <w:tcPr>
            <w:tcW w:type="dxa" w:w="1728"/>
          </w:tcPr>
          <w:p>
            <w:r>
              <w:t>Soy / Bulk</w:t>
            </w:r>
          </w:p>
        </w:tc>
        <w:tc>
          <w:tcPr>
            <w:tcW w:type="dxa" w:w="1728"/>
          </w:tcPr>
          <w:p>
            <w:r>
              <w:t>From $28</w:t>
            </w:r>
          </w:p>
        </w:tc>
        <w:tc>
          <w:tcPr>
            <w:tcW w:type="dxa" w:w="1728"/>
          </w:tcPr>
          <w:p>
            <w:r>
              <w:t>Big volumes moving on a steady rhythm</w:t>
            </w:r>
          </w:p>
        </w:tc>
      </w:tr>
      <w:tr>
        <w:tc>
          <w:tcPr>
            <w:tcW w:type="dxa" w:w="1728"/>
          </w:tcPr>
          <w:p>
            <w:r>
              <w:t>SE Asia to Middle East</w:t>
            </w:r>
          </w:p>
        </w:tc>
        <w:tc>
          <w:tcPr>
            <w:tcW w:type="dxa" w:w="1728"/>
          </w:tcPr>
          <w:p>
            <w:r>
              <w:t>Laem Chabang, TH to Jeddah, SA</w:t>
            </w:r>
          </w:p>
        </w:tc>
        <w:tc>
          <w:tcPr>
            <w:tcW w:type="dxa" w:w="1728"/>
          </w:tcPr>
          <w:p>
            <w:r>
              <w:t>Rice</w:t>
            </w:r>
          </w:p>
        </w:tc>
        <w:tc>
          <w:tcPr>
            <w:tcW w:type="dxa" w:w="1728"/>
          </w:tcPr>
          <w:p>
            <w:r>
              <w:t>From $2000</w:t>
            </w:r>
          </w:p>
        </w:tc>
        <w:tc>
          <w:tcPr>
            <w:tcW w:type="dxa" w:w="1728"/>
          </w:tcPr>
          <w:p>
            <w:r>
              <w:t>A corridor where execution timing matters most</w:t>
            </w:r>
          </w:p>
        </w:tc>
      </w:tr>
    </w:tbl>
    <w:p/>
    <w:p>
      <w:r>
        <w:t>These numbers hold through March 3, 2026.</w:t>
      </w:r>
    </w:p>
    <w:p>
      <w:pPr>
        <w:pStyle w:val="Heading2"/>
      </w:pPr>
      <w:r>
        <w:t>What traders should do next</w:t>
      </w:r>
    </w:p>
    <w:p>
      <w:r>
        <w:t>Reactive logistics doesn't hold up well in a market this jumpy. Building proactive analytics into how you trade and ship tends to work better.</w:t>
      </w:r>
    </w:p>
    <w:p>
      <w:r>
        <w:t>A few things that means in practice:</w:t>
      </w:r>
    </w:p>
    <w:p>
      <w:pPr>
        <w:pStyle w:val="ListBullet"/>
      </w:pPr>
      <w:r>
        <w:t>Build freight costs into the pricing model. CIF calculations should track tariff dynamics and index movement for specific corridors rather than lean on static freight assumptions.</w:t>
      </w:r>
    </w:p>
    <w:p>
      <w:pPr>
        <w:pStyle w:val="ListBullet"/>
      </w:pPr>
      <w:r>
        <w:t>Compare corridors before locking in volumes. Tools like Logistics Explorer, which weigh transit time, carrier offers, and similar variables, help surface alternative routes and where the structural bottlenecks actually sit.</w:t>
      </w:r>
    </w:p>
    <w:p>
      <w:pPr>
        <w:pStyle w:val="ListBullet"/>
      </w:pPr>
      <w:r>
        <w:t>Watch the freight indexes. Historical data keeps your commodity strategy grounded in what the market is actually doing.</w:t>
      </w:r>
    </w:p>
    <w:p>
      <w:pPr>
        <w:pStyle w:val="ListBullet"/>
      </w:pPr>
      <w:r>
        <w:t>Get end-to-end visibility on shipments. Tracking across road, rail, sea, air, and parcel modes delivers live ETA updates and cuts down on uncertainty across the flow.</w:t>
      </w:r>
    </w:p>
    <w:p>
      <w:pPr>
        <w:pStyle w:val="ListBullet"/>
      </w:pPr>
      <w:r>
        <w:t>Price in execution risk. Rail, port, and sea transport loads deserve a seat at the table when margins and contract terms get set.</w:t>
      </w:r>
    </w:p>
    <w:p>
      <w:r>
        <w:t>Businesses with solid insight and decent tools tend to spot rate changes early, manage execution risk better, and keep margins steadier when conditions get unstable. Transparent logistics, a clear read on shipping routes, freight rate comparisons, and multimodal tracking in one place all support that.</w:t>
      </w:r>
    </w:p>
    <w:p>
      <w:pPr>
        <w:pStyle w:val="Heading2"/>
      </w:pPr>
      <w:r>
        <w:t>Logistics now shapes market conditions</w:t>
      </w:r>
    </w:p>
    <w:p>
      <w:r>
        <w:t>The role logistics plays has expanded. Capacity and stability in the network now help decide which trade routes stay viable and what market conditions traders are working within, feeding straight back into commodity prices.</w:t>
      </w:r>
    </w:p>
    <w:p>
      <w:r>
        <w:t>Looking to steady your trade volumes or get shipping operations under better control? Reach out to sales@searates.com for a shipping offer built around your corridors.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