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B2B Clients Expect Amazon-Level Tracking. Here's the Fix</w:t>
      </w:r>
    </w:p>
    <w:p>
      <w:r>
        <w:rPr>
          <w:i/>
          <w:sz w:val="18"/>
        </w:rPr>
        <w:t>Meta title: Why White Label Shipment Tracking Wins B2B Clients</w:t>
      </w:r>
    </w:p>
    <w:p>
      <w:r>
        <w:rPr>
          <w:i/>
          <w:sz w:val="18"/>
        </w:rPr>
        <w:t>Meta description: B2B buyer expectations now mirror Amazon. See how an embeddable tracking widget with white label shipment tracking keeps clients on your site.</w:t>
      </w:r>
    </w:p>
    <w:p>
      <w:r>
        <w:t>A client opens your invoice, wants to know where their container is, and reaches for the phone. That reflex used to be normal. Now it reads as a warning sign, because everyone in procurement has spent the last decade ordering socks at midnight and watching the parcel move across a map.</w:t>
      </w:r>
    </w:p>
    <w:p>
      <w:r>
        <w:t>Amazon trained an entire generation of business buyers on instant answers. They bring that training to freight. When they hire a forwarder, they expect to open a page, type a reference number, and see the status right away. Self-service tracking has quietly moved from nice-to-have to baseline. If answering a "where's my cargo?" email sends your team down a slow email chain and a pile of carrier tabs, those buyers notice, and they start weighing you against whichever competitor already fixed it.</w:t>
      </w:r>
    </w:p>
    <w:p>
      <w:pPr>
        <w:pStyle w:val="Heading2"/>
      </w:pPr>
      <w:r>
        <w:t>The old workflow is falling apart under its own weight</w:t>
      </w:r>
    </w:p>
    <w:p>
      <w:r>
        <w:t>Consider what reactive communication actually costs. A client asks about a shipment. Someone checks a carrier site, drafts a reply, sends it. Meanwhile four more clients asked the same thing. Inboxes pile up, phones ring, and by the time an update lands, the situation it describes may already have changed.</w:t>
      </w:r>
    </w:p>
    <w:p>
      <w:r>
        <w:t>Manual tracking makes this worse. Copying container codes between sites, juggling dozens of carriers, writing updates by hand: every step is a chance for a wrong number or a missed detail. That is the gap many companies close when they automate data movement with ETL tools, keeping information accurate as it flows between systems.</w:t>
      </w:r>
    </w:p>
    <w:p>
      <w:r>
        <w:t>Then there's the sales side. A decision-maker comparing forwarders can't see how reliable you are from a brochure. But real-time shipment visibility during a trial shipment tells them plenty. Give them nothing to look at, and they drift toward the forwarder whose tracking feels effortless.</w:t>
      </w:r>
    </w:p>
    <w:p>
      <w:r>
        <w:t>White label shipment tracking fits into this picture for a simple reason. Buyers want answers inside a familiar environment, under branding they recognize. The branding stays theirs, with no carrier name taking over. Clients skip the bouncing to external portals and the hunting through carrier websites. One place, your design, your service wrapped around the whole experience.</w:t>
      </w:r>
    </w:p>
    <w:p>
      <w:pPr>
        <w:pStyle w:val="Heading2"/>
      </w:pPr>
      <w:r>
        <w:t>How an embeddable tracking widget works</w:t>
      </w:r>
    </w:p>
    <w:p>
      <w:r>
        <w:t>The mechanics are unglamorous, which is the point. An embeddable tracking widget is a customizable block that sits on your own website. A client types a tracking number, and live progress appears on your page. Clients never leave your site or sign in anywhere else, so the experience stays brand-synchronized from start to finish.</w:t>
      </w:r>
    </w:p>
    <w:p>
      <w:r>
        <w:t>SeaRates offers a scalable platform behind this: over 1,600 global carriers connected, and you install it with a short code snippet on your site. The widget loads fast, carries white label branding, handles self-service updates end to end, and removes any need for outside portals. Forwarders who want to see it in action can explore the SeaRates Tracking Integration directly.</w:t>
      </w:r>
    </w:p>
    <w:p>
      <w:pPr>
        <w:pStyle w:val="Heading2"/>
      </w:pPr>
      <w:r>
        <w:t>What changes once the widget is live</w:t>
      </w:r>
    </w:p>
    <w:p>
      <w:r>
        <w:t>Support volume drops first. Fewer follow-up emails, fewer "just checking in" calls, because clients check progress themselves whenever they like.</w:t>
      </w:r>
    </w:p>
    <w:p>
      <w:r>
        <w:t>Satisfaction follows. People tend to stay with, and recommend, brands that hand them visibility on the spot.</w:t>
      </w:r>
    </w:p>
    <w:p>
      <w:r>
        <w:t>There's a commercial angle too. Modern B2B sales tools help teams keep prospect outreach organized and consistent earlier in the buying journey. Pair that discipline with a branded tracking page and you have a visible answer when a competitor still says "we'll email you an update." Prospects notice which service feels current. Widgets convert some of those prospects into paying accounts.</w:t>
      </w:r>
    </w:p>
    <w:p>
      <w:r>
        <w:t>And your website simply looks more professional doing it. It becomes a working doorway into your operation rather than a static card with a contact form.</w:t>
      </w:r>
    </w:p>
    <w:p>
      <w:r>
        <w:t>One honest caveat: none of this replaces good account management. A widget can't renegotiate a rate or untangle a customs hold. What it does is absorb a steady stream of routine status conversations, so your team spends its hours on work that actually needs a human.</w:t>
      </w:r>
    </w:p>
    <w:p>
      <w:pPr>
        <w:pStyle w:val="Heading2"/>
      </w:pPr>
      <w:r>
        <w:t>Where this leaves forwarders</w:t>
      </w:r>
    </w:p>
    <w:p>
      <w:r>
        <w:t>Calling your office for a cargo check now marks a provider as slow. On-demand, real-time updates have become the default assumption, and the Amazon Effect pushed them there. Adding a white-label widget to your own site is the most direct way to meet that assumption, and SeaRates provides the tools to do it. Put the widget on your site and let your team get back to client work that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