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2A4A"/>
          <w:sz w:val="36"/>
        </w:rPr>
        <w:t>LEGAL MEMORANDUM &amp; CONTRACT COMPARISON</w:t>
      </w:r>
    </w:p>
    <w:p>
      <w:pPr>
        <w:spacing w:after="280"/>
      </w:pPr>
      <w:r>
        <w:rPr>
          <w:i/>
          <w:color w:val="646E78"/>
          <w:sz w:val="22"/>
        </w:rPr>
        <w:t>Navo24 (WEMELOGISTICS LTD) vs. Lloyd's List Intelligence (LLI) — PAYG Commercial Agreement</w:t>
      </w:r>
    </w:p>
    <w:tbl>
      <w:tblPr>
        <w:tblW w:type="auto" w:w="0"/>
        <w:jc w:val="center"/>
        <w:tblLook w:firstColumn="1" w:firstRow="1" w:lastColumn="0" w:lastRow="0" w:noHBand="0" w:noVBand="1" w:val="04A0"/>
      </w:tblPr>
      <w:tblGrid>
        <w:gridCol w:w="4968"/>
        <w:gridCol w:w="4968"/>
      </w:tblGrid>
      <w:tr>
        <w:tc>
          <w:tcPr>
            <w:tcW w:type="dxa" w:w="2880"/>
            <w:shd w:fill="F0F4F8"/>
            <w:tcMar>
              <w:top w:w="80" w:type="dxa"/>
              <w:bottom w:w="80" w:type="dxa"/>
              <w:left w:w="100" w:type="dxa"/>
              <w:right w:w="100" w:type="dxa"/>
            </w:tcMar>
          </w:tcPr>
          <w:p>
            <w:r>
              <w:rPr>
                <w:b/>
                <w:sz w:val="19"/>
              </w:rPr>
              <w:t>Date &amp; Reference:</w:t>
            </w:r>
          </w:p>
        </w:tc>
        <w:tc>
          <w:tcPr>
            <w:tcW w:type="dxa" w:w="6912"/>
            <w:shd w:fill="F9FBFD"/>
            <w:tcMar>
              <w:top w:w="80" w:type="dxa"/>
              <w:bottom w:w="80" w:type="dxa"/>
              <w:left w:w="100" w:type="dxa"/>
              <w:right w:w="100" w:type="dxa"/>
            </w:tcMar>
          </w:tcPr>
          <w:p>
            <w:r>
              <w:rPr>
                <w:sz w:val="19"/>
              </w:rPr>
              <w:t>24 August 2026 | Contract Audit &amp; Comparison</w:t>
            </w:r>
          </w:p>
        </w:tc>
      </w:tr>
      <w:tr>
        <w:tc>
          <w:tcPr>
            <w:tcW w:type="dxa" w:w="2880"/>
            <w:shd w:fill="F0F4F8"/>
            <w:tcMar>
              <w:top w:w="80" w:type="dxa"/>
              <w:bottom w:w="80" w:type="dxa"/>
              <w:left w:w="100" w:type="dxa"/>
              <w:right w:w="100" w:type="dxa"/>
            </w:tcMar>
          </w:tcPr>
          <w:p>
            <w:r>
              <w:rPr>
                <w:b/>
                <w:sz w:val="19"/>
              </w:rPr>
              <w:t>Target Documents:</w:t>
            </w:r>
          </w:p>
        </w:tc>
        <w:tc>
          <w:tcPr>
            <w:tcW w:type="dxa" w:w="6912"/>
            <w:shd w:fill="F9FBFD"/>
            <w:tcMar>
              <w:top w:w="80" w:type="dxa"/>
              <w:bottom w:w="80" w:type="dxa"/>
              <w:left w:w="100" w:type="dxa"/>
              <w:right w:w="100" w:type="dxa"/>
            </w:tcMar>
          </w:tcPr>
          <w:p>
            <w:r>
              <w:rPr>
                <w:sz w:val="19"/>
              </w:rPr>
              <w:t>1. Wemelogistics Counter-Offer / Amendments (Navo Baseline)</w:t>
              <w:br/>
              <w:t>2. LLI Marked-Up Draft dated 21.08.2026</w:t>
            </w:r>
          </w:p>
        </w:tc>
      </w:tr>
      <w:tr>
        <w:tc>
          <w:tcPr>
            <w:tcW w:type="dxa" w:w="2880"/>
            <w:shd w:fill="F0F4F8"/>
            <w:tcMar>
              <w:top w:w="80" w:type="dxa"/>
              <w:bottom w:w="80" w:type="dxa"/>
              <w:left w:w="100" w:type="dxa"/>
              <w:right w:w="100" w:type="dxa"/>
            </w:tcMar>
          </w:tcPr>
          <w:p>
            <w:r>
              <w:rPr>
                <w:b/>
                <w:sz w:val="19"/>
              </w:rPr>
              <w:t>Author / Legal Counsel:</w:t>
            </w:r>
          </w:p>
        </w:tc>
        <w:tc>
          <w:tcPr>
            <w:tcW w:type="dxa" w:w="6912"/>
            <w:shd w:fill="F9FBFD"/>
            <w:tcMar>
              <w:top w:w="80" w:type="dxa"/>
              <w:bottom w:w="80" w:type="dxa"/>
              <w:left w:w="100" w:type="dxa"/>
              <w:right w:w="100" w:type="dxa"/>
            </w:tcMar>
          </w:tcPr>
          <w:p>
            <w:r>
              <w:rPr>
                <w:sz w:val="19"/>
              </w:rPr>
              <w:t>Harrison Croft (General Legal Counsel &amp; CCO, Navo24)</w:t>
            </w:r>
          </w:p>
        </w:tc>
      </w:tr>
      <w:tr>
        <w:tc>
          <w:tcPr>
            <w:tcW w:type="dxa" w:w="2880"/>
            <w:shd w:fill="F0F4F8"/>
            <w:tcMar>
              <w:top w:w="80" w:type="dxa"/>
              <w:bottom w:w="80" w:type="dxa"/>
              <w:left w:w="100" w:type="dxa"/>
              <w:right w:w="100" w:type="dxa"/>
            </w:tcMar>
          </w:tcPr>
          <w:p>
            <w:r>
              <w:rPr>
                <w:b/>
                <w:sz w:val="19"/>
              </w:rPr>
              <w:t>Intended Audience:</w:t>
            </w:r>
          </w:p>
        </w:tc>
        <w:tc>
          <w:tcPr>
            <w:tcW w:type="dxa" w:w="6912"/>
            <w:shd w:fill="F9FBFD"/>
            <w:tcMar>
              <w:top w:w="80" w:type="dxa"/>
              <w:bottom w:w="80" w:type="dxa"/>
              <w:left w:w="100" w:type="dxa"/>
              <w:right w:w="100" w:type="dxa"/>
            </w:tcMar>
          </w:tcPr>
          <w:p>
            <w:r>
              <w:rPr>
                <w:sz w:val="19"/>
              </w:rPr>
              <w:t>Stefan (COO), Alexey (Tech Lead), Commercial Team (Kate K., Richard M.)</w:t>
            </w:r>
          </w:p>
        </w:tc>
      </w:tr>
    </w:tbl>
    <w:p>
      <w:pPr>
        <w:spacing w:after="200"/>
      </w:pPr>
    </w:p>
    <w:p>
      <w:pPr>
        <w:spacing w:before="200" w:after="120"/>
      </w:pPr>
      <w:r>
        <w:rPr>
          <w:b/>
          <w:color w:val="0F2A4A"/>
          <w:sz w:val="28"/>
        </w:rPr>
        <w:t>1. Executive Summary &amp; Core Findings</w:t>
      </w:r>
    </w:p>
    <w:p>
      <w:r>
        <w:rPr>
          <w:sz w:val="20"/>
        </w:rPr>
        <w:t xml:space="preserve">Клиенты из Lloyd's List Intelligence (LLI) в драфте от 21.08 приняли общую структуру нашего соглашения (PAYG, £25k лимит ответственности, лицензирование API и запрет на перепродажу сырых данных). Однако они внесли ряд ключевых правок и юридических ловушек, главная из которых — </w:t>
      </w:r>
      <w:r>
        <w:rPr>
          <w:b/>
          <w:color w:val="B41414"/>
        </w:rPr>
        <w:t>попытка поставить свои стандартные условия для поставщиков (LLI Standard Terms for Suppliers) выше нашего договора в Order of Precedence.</w:t>
      </w:r>
    </w:p>
    <w:p>
      <w:r>
        <w:rPr>
          <w:sz w:val="20"/>
        </w:rPr>
        <w:t>Ниже приведен подробный сравнительный разбор каждого спорного пункта, оценка уровня риска, исходный текст клиента (выделен красным/желтым) и наша встречная защитная редакция (выделена зеленым).</w:t>
      </w:r>
    </w:p>
    <w:p>
      <w:pPr>
        <w:spacing w:before="240" w:after="120"/>
      </w:pPr>
      <w:r>
        <w:rPr>
          <w:b/>
          <w:color w:val="0F2A4A"/>
          <w:sz w:val="28"/>
        </w:rPr>
        <w:t>2. Детальный аудит и сравнение ключевых пунктов</w:t>
      </w:r>
    </w:p>
    <w:tbl>
      <w:tblPr>
        <w:tblW w:type="auto" w:w="0"/>
        <w:jc w:val="center"/>
        <w:tblLook w:firstColumn="1" w:firstRow="1" w:lastColumn="0" w:lastRow="0" w:noHBand="0" w:noVBand="1" w:val="04A0"/>
      </w:tblPr>
      <w:tblGrid>
        <w:gridCol w:w="4968"/>
        <w:gridCol w:w="4968"/>
      </w:tblGrid>
      <w:tr>
        <w:tc>
          <w:tcPr>
            <w:tcW w:type="dxa" w:w="9936"/>
            <w:gridSpan w:val="2"/>
            <w:shd w:fill="EAEFF5"/>
            <w:tcMar>
              <w:top w:w="80" w:type="dxa"/>
              <w:bottom w:w="80" w:type="dxa"/>
              <w:left w:w="120" w:type="dxa"/>
              <w:right w:w="120" w:type="dxa"/>
            </w:tcMar>
          </w:tcPr>
          <w:p>
            <w:r>
              <w:rPr>
                <w:b/>
                <w:color w:val="0F2A4A"/>
                <w:sz w:val="22"/>
              </w:rPr>
              <w:t>Пункт 1. Приоритет документов (Order of Precedence — Таблица 0)</w:t>
            </w:r>
            <w:r>
              <w:rPr>
                <w:b/>
                <w:color w:val="C00000"/>
                <w:sz w:val="20"/>
              </w:rPr>
              <w:t xml:space="preserve">  |  Уровень риска: CRITICAL (Критический риск)</w:t>
            </w:r>
          </w:p>
        </w:tc>
      </w:tr>
      <w:tr>
        <w:tc>
          <w:tcPr>
            <w:tcW w:type="dxa" w:w="3168"/>
            <w:shd w:fill="F7F9FB"/>
            <w:tcMar>
              <w:top w:w="60" w:type="dxa"/>
              <w:bottom w:w="60" w:type="dxa"/>
              <w:left w:w="100" w:type="dxa"/>
              <w:right w:w="100" w:type="dxa"/>
            </w:tcMar>
          </w:tcPr>
          <w:p>
            <w:r>
              <w:rPr>
                <w:b/>
                <w:sz w:val="19"/>
              </w:rPr>
              <w:t>Суть запроса LLI:</w:t>
            </w:r>
          </w:p>
        </w:tc>
        <w:tc>
          <w:tcPr>
            <w:tcW w:type="dxa" w:w="6624"/>
            <w:tcMar>
              <w:top w:w="60" w:type="dxa"/>
              <w:bottom w:w="60" w:type="dxa"/>
              <w:left w:w="100" w:type="dxa"/>
              <w:right w:w="100" w:type="dxa"/>
            </w:tcMar>
          </w:tcPr>
          <w:p>
            <w:r>
              <w:rPr>
                <w:sz w:val="19"/>
              </w:rPr>
              <w:t>Клиент вставил оговорку, согласно которой при любых противоречиях приоритет имеют их типовые условия закупок: 1. LLI Standard Terms for Suppliers; 2. Part 1 (Special Conditions); 3. Part 2 (General Terms).</w:t>
            </w:r>
          </w:p>
        </w:tc>
      </w:tr>
      <w:tr>
        <w:tc>
          <w:tcPr>
            <w:tcW w:type="dxa" w:w="3168"/>
            <w:shd w:fill="FDE8E8"/>
            <w:tcMar>
              <w:top w:w="60" w:type="dxa"/>
              <w:bottom w:w="60" w:type="dxa"/>
              <w:left w:w="100" w:type="dxa"/>
              <w:right w:w="100" w:type="dxa"/>
            </w:tcMar>
          </w:tcPr>
          <w:p>
            <w:r>
              <w:rPr>
                <w:b/>
                <w:sz w:val="19"/>
              </w:rPr>
              <w:t>Формулировка LLI (в их драфте):</w:t>
            </w:r>
          </w:p>
        </w:tc>
        <w:tc>
          <w:tcPr>
            <w:tcW w:type="dxa" w:w="6624"/>
            <w:shd w:fill="FDE8E8"/>
            <w:tcMar>
              <w:top w:w="60" w:type="dxa"/>
              <w:bottom w:w="60" w:type="dxa"/>
              <w:left w:w="100" w:type="dxa"/>
              <w:right w:w="100" w:type="dxa"/>
            </w:tcMar>
          </w:tcPr>
          <w:p>
            <w:r>
              <w:rPr>
                <w:i/>
                <w:sz w:val="19"/>
              </w:rPr>
              <w:t>In the event of any conflict, discrepancy, ambiguity, or contradiction between the provisions set forth in Part 1 (...) and Part 2 (...) and the LLI Standard Terms, the provisions (...) shall apply in the following order of priority: 1. LLI Standard Terms; 2. Part 1; 3. Part 2.</w:t>
            </w:r>
          </w:p>
        </w:tc>
      </w:tr>
      <w:tr>
        <w:tc>
          <w:tcPr>
            <w:tcW w:type="dxa" w:w="3168"/>
            <w:shd w:fill="FFF3CD"/>
            <w:tcMar>
              <w:top w:w="60" w:type="dxa"/>
              <w:bottom w:w="60" w:type="dxa"/>
              <w:left w:w="100" w:type="dxa"/>
              <w:right w:w="100" w:type="dxa"/>
            </w:tcMar>
          </w:tcPr>
          <w:p>
            <w:r>
              <w:rPr>
                <w:b/>
                <w:sz w:val="19"/>
              </w:rPr>
              <w:t>Юридический риск для Navo:</w:t>
            </w:r>
          </w:p>
        </w:tc>
        <w:tc>
          <w:tcPr>
            <w:tcW w:type="dxa" w:w="6624"/>
            <w:shd w:fill="FFF3CD"/>
            <w:tcMar>
              <w:top w:w="60" w:type="dxa"/>
              <w:bottom w:w="60" w:type="dxa"/>
              <w:left w:w="100" w:type="dxa"/>
              <w:right w:w="100" w:type="dxa"/>
            </w:tcMar>
          </w:tcPr>
          <w:p>
            <w:r>
              <w:rPr>
                <w:sz w:val="19"/>
              </w:rPr>
              <w:t>Условия LLI для поставщиков разработаны для общих закупок и содержат неограниченную ответственность, передачу всех прав на IP клиенту и жесткие гарантии на данные. Если их условия стоят на 1-м месте, они полностью аннулируют наш лимит в £25,000 и защиту платформы Navo24.</w:t>
            </w:r>
          </w:p>
        </w:tc>
      </w:tr>
      <w:tr>
        <w:tc>
          <w:tcPr>
            <w:tcW w:type="dxa" w:w="3168"/>
            <w:shd w:fill="E8F5E9"/>
            <w:tcMar>
              <w:top w:w="60" w:type="dxa"/>
              <w:bottom w:w="60" w:type="dxa"/>
              <w:left w:w="100" w:type="dxa"/>
              <w:right w:w="100" w:type="dxa"/>
            </w:tcMar>
          </w:tcPr>
          <w:p>
            <w:r>
              <w:rPr>
                <w:b/>
                <w:sz w:val="19"/>
              </w:rPr>
              <w:t>Что предлагаем мы (Navo):</w:t>
            </w:r>
          </w:p>
        </w:tc>
        <w:tc>
          <w:tcPr>
            <w:tcW w:type="dxa" w:w="6624"/>
            <w:shd w:fill="E8F5E9"/>
            <w:tcMar>
              <w:top w:w="60" w:type="dxa"/>
              <w:bottom w:w="60" w:type="dxa"/>
              <w:left w:w="100" w:type="dxa"/>
              <w:right w:w="100" w:type="dxa"/>
            </w:tcMar>
          </w:tcPr>
          <w:p>
            <w:r>
              <w:rPr>
                <w:sz w:val="19"/>
              </w:rPr>
              <w:t>Поставить Part 1 и Part 2 выше LLI Supplier Terms. Условия LLI могут применяться лишь субсидиарно и исключительно в части, не противоречащей нашему договору.</w:t>
            </w:r>
          </w:p>
        </w:tc>
      </w:tr>
      <w:tr>
        <w:tc>
          <w:tcPr>
            <w:tcW w:type="dxa" w:w="3168"/>
            <w:shd w:fill="D4EDDA"/>
            <w:tcMar>
              <w:top w:w="60" w:type="dxa"/>
              <w:bottom w:w="60" w:type="dxa"/>
              <w:left w:w="100" w:type="dxa"/>
              <w:right w:w="100" w:type="dxa"/>
            </w:tcMar>
          </w:tcPr>
          <w:p>
            <w:r>
              <w:rPr>
                <w:b/>
                <w:sz w:val="19"/>
              </w:rPr>
              <w:t>Готовый текст для договора (Redline):</w:t>
            </w:r>
          </w:p>
        </w:tc>
        <w:tc>
          <w:tcPr>
            <w:tcW w:type="dxa" w:w="6624"/>
            <w:shd w:fill="D4EDDA"/>
            <w:tcMar>
              <w:top w:w="60" w:type="dxa"/>
              <w:bottom w:w="60" w:type="dxa"/>
              <w:left w:w="100" w:type="dxa"/>
              <w:right w:w="100" w:type="dxa"/>
            </w:tcMar>
          </w:tcPr>
          <w:p>
            <w:r>
              <w:rPr>
                <w:b/>
                <w:color w:val="14641E"/>
                <w:sz w:val="19"/>
              </w:rPr>
              <w:t>In the event of any conflict, discrepancy, ambiguity, or contradiction, the provisions shall apply in the following order of priority: 1. Part 1 (Commercial Offer and Special Conditions); 2. Part 2 (General Terms and Conditions of Use); 3. LLI Standard Terms and Conditions for Suppliers (solely to the extent not conflicting with Parts 1 &amp; 2).</w:t>
            </w:r>
          </w:p>
        </w:tc>
      </w:tr>
    </w:tbl>
    <w:p>
      <w:pPr>
        <w:spacing w:after="160"/>
      </w:pPr>
    </w:p>
    <w:tbl>
      <w:tblPr>
        <w:tblW w:type="auto" w:w="0"/>
        <w:jc w:val="center"/>
        <w:tblLook w:firstColumn="1" w:firstRow="1" w:lastColumn="0" w:lastRow="0" w:noHBand="0" w:noVBand="1" w:val="04A0"/>
      </w:tblPr>
      <w:tblGrid>
        <w:gridCol w:w="4968"/>
        <w:gridCol w:w="4968"/>
      </w:tblGrid>
      <w:tr>
        <w:tc>
          <w:tcPr>
            <w:tcW w:type="dxa" w:w="9936"/>
            <w:gridSpan w:val="2"/>
            <w:shd w:fill="EAEFF5"/>
            <w:tcMar>
              <w:top w:w="80" w:type="dxa"/>
              <w:bottom w:w="80" w:type="dxa"/>
              <w:left w:w="120" w:type="dxa"/>
              <w:right w:w="120" w:type="dxa"/>
            </w:tcMar>
          </w:tcPr>
          <w:p>
            <w:r>
              <w:rPr>
                <w:b/>
                <w:color w:val="0F2A4A"/>
                <w:sz w:val="22"/>
              </w:rPr>
              <w:t>Пункт 2. Обязательство бесплатно подключать новые морские линии (Part 1, Clause 1)</w:t>
            </w:r>
            <w:r>
              <w:rPr>
                <w:b/>
                <w:color w:val="DC6400"/>
                <w:sz w:val="20"/>
              </w:rPr>
              <w:t xml:space="preserve">  |  Уровень риска: HIGH (Высокий операционный риск)</w:t>
            </w:r>
          </w:p>
        </w:tc>
      </w:tr>
      <w:tr>
        <w:tc>
          <w:tcPr>
            <w:tcW w:type="dxa" w:w="3168"/>
            <w:shd w:fill="F7F9FB"/>
            <w:tcMar>
              <w:top w:w="60" w:type="dxa"/>
              <w:bottom w:w="60" w:type="dxa"/>
              <w:left w:w="100" w:type="dxa"/>
              <w:right w:w="100" w:type="dxa"/>
            </w:tcMar>
          </w:tcPr>
          <w:p>
            <w:r>
              <w:rPr>
                <w:b/>
                <w:sz w:val="19"/>
              </w:rPr>
              <w:t>Суть запроса LLI:</w:t>
            </w:r>
          </w:p>
        </w:tc>
        <w:tc>
          <w:tcPr>
            <w:tcW w:type="dxa" w:w="6624"/>
            <w:tcMar>
              <w:top w:w="60" w:type="dxa"/>
              <w:bottom w:w="60" w:type="dxa"/>
              <w:left w:w="100" w:type="dxa"/>
              <w:right w:w="100" w:type="dxa"/>
            </w:tcMar>
          </w:tcPr>
          <w:p>
            <w:r>
              <w:rPr>
                <w:sz w:val="19"/>
              </w:rPr>
              <w:t>LLI хочет, чтобы Navo24 по их запросу оценивала возможность подключения любой новой контейнерной линии, и если это «feasibility and reasonable effort», подключала коннектор БЕСПЛАТНО.</w:t>
            </w:r>
          </w:p>
        </w:tc>
      </w:tr>
      <w:tr>
        <w:tc>
          <w:tcPr>
            <w:tcW w:type="dxa" w:w="3168"/>
            <w:shd w:fill="FDE8E8"/>
            <w:tcMar>
              <w:top w:w="60" w:type="dxa"/>
              <w:bottom w:w="60" w:type="dxa"/>
              <w:left w:w="100" w:type="dxa"/>
              <w:right w:w="100" w:type="dxa"/>
            </w:tcMar>
          </w:tcPr>
          <w:p>
            <w:r>
              <w:rPr>
                <w:b/>
                <w:sz w:val="19"/>
              </w:rPr>
              <w:t>Формулировка LLI (в их драфте):</w:t>
            </w:r>
          </w:p>
        </w:tc>
        <w:tc>
          <w:tcPr>
            <w:tcW w:type="dxa" w:w="6624"/>
            <w:shd w:fill="FDE8E8"/>
            <w:tcMar>
              <w:top w:w="60" w:type="dxa"/>
              <w:bottom w:w="60" w:type="dxa"/>
              <w:left w:w="100" w:type="dxa"/>
              <w:right w:w="100" w:type="dxa"/>
            </w:tcMar>
          </w:tcPr>
          <w:p>
            <w:r>
              <w:rPr>
                <w:i/>
                <w:sz w:val="19"/>
              </w:rPr>
              <w:t>If the onboarding is technically and commercially feasible and reasonable in terms of effort, then the Provider shall arrange for the connector to the requested sealine to be executed at no additional cost to the Client.</w:t>
            </w:r>
          </w:p>
        </w:tc>
      </w:tr>
      <w:tr>
        <w:tc>
          <w:tcPr>
            <w:tcW w:type="dxa" w:w="3168"/>
            <w:shd w:fill="FFF3CD"/>
            <w:tcMar>
              <w:top w:w="60" w:type="dxa"/>
              <w:bottom w:w="60" w:type="dxa"/>
              <w:left w:w="100" w:type="dxa"/>
              <w:right w:w="100" w:type="dxa"/>
            </w:tcMar>
          </w:tcPr>
          <w:p>
            <w:r>
              <w:rPr>
                <w:b/>
                <w:sz w:val="19"/>
              </w:rPr>
              <w:t>Юридический риск для Navo:</w:t>
            </w:r>
          </w:p>
        </w:tc>
        <w:tc>
          <w:tcPr>
            <w:tcW w:type="dxa" w:w="6624"/>
            <w:shd w:fill="FFF3CD"/>
            <w:tcMar>
              <w:top w:w="60" w:type="dxa"/>
              <w:bottom w:w="60" w:type="dxa"/>
              <w:left w:w="100" w:type="dxa"/>
              <w:right w:w="100" w:type="dxa"/>
            </w:tcMar>
          </w:tcPr>
          <w:p>
            <w:r>
              <w:rPr>
                <w:sz w:val="19"/>
              </w:rPr>
              <w:t>Формулировка 'reasonable in terms of effort' субъективна. Клиент сможет требовать срочной и бесплатной разработки нестандартных парсеров для закрытых линий, грозя нарушением контракта.</w:t>
            </w:r>
          </w:p>
        </w:tc>
      </w:tr>
      <w:tr>
        <w:tc>
          <w:tcPr>
            <w:tcW w:type="dxa" w:w="3168"/>
            <w:shd w:fill="E8F5E9"/>
            <w:tcMar>
              <w:top w:w="60" w:type="dxa"/>
              <w:bottom w:w="60" w:type="dxa"/>
              <w:left w:w="100" w:type="dxa"/>
              <w:right w:w="100" w:type="dxa"/>
            </w:tcMar>
          </w:tcPr>
          <w:p>
            <w:r>
              <w:rPr>
                <w:b/>
                <w:sz w:val="19"/>
              </w:rPr>
              <w:t>Что предлагаем мы (Navo):</w:t>
            </w:r>
          </w:p>
        </w:tc>
        <w:tc>
          <w:tcPr>
            <w:tcW w:type="dxa" w:w="6624"/>
            <w:shd w:fill="E8F5E9"/>
            <w:tcMar>
              <w:top w:w="60" w:type="dxa"/>
              <w:bottom w:w="60" w:type="dxa"/>
              <w:left w:w="100" w:type="dxa"/>
              <w:right w:w="100" w:type="dxa"/>
            </w:tcMar>
          </w:tcPr>
          <w:p>
            <w:r>
              <w:rPr>
                <w:sz w:val="19"/>
              </w:rPr>
              <w:t>Зафиксировать, что Navo24 оценивает запросы добросовестно и включает их в общий продуктовый роадмап по своему разумному усмотрению, либо предоставляет отдельную оценку на кастомную разработку.</w:t>
            </w:r>
          </w:p>
        </w:tc>
      </w:tr>
      <w:tr>
        <w:tc>
          <w:tcPr>
            <w:tcW w:type="dxa" w:w="3168"/>
            <w:shd w:fill="D4EDDA"/>
            <w:tcMar>
              <w:top w:w="60" w:type="dxa"/>
              <w:bottom w:w="60" w:type="dxa"/>
              <w:left w:w="100" w:type="dxa"/>
              <w:right w:w="100" w:type="dxa"/>
            </w:tcMar>
          </w:tcPr>
          <w:p>
            <w:r>
              <w:rPr>
                <w:b/>
                <w:sz w:val="19"/>
              </w:rPr>
              <w:t>Готовый текст для договора (Redline):</w:t>
            </w:r>
          </w:p>
        </w:tc>
        <w:tc>
          <w:tcPr>
            <w:tcW w:type="dxa" w:w="6624"/>
            <w:shd w:fill="D4EDDA"/>
            <w:tcMar>
              <w:top w:w="60" w:type="dxa"/>
              <w:bottom w:w="60" w:type="dxa"/>
              <w:left w:w="100" w:type="dxa"/>
              <w:right w:w="100" w:type="dxa"/>
            </w:tcMar>
          </w:tcPr>
          <w:p>
            <w:r>
              <w:rPr>
                <w:b/>
                <w:color w:val="14641E"/>
                <w:sz w:val="19"/>
              </w:rPr>
              <w:t>Upon Client's written request, Provider shall assess in good faith the feasibility of onboarding requested container lines. If feasible, Provider may, at its reasonable discretion, incorporate such connector into its general platform development roadmap at no additional cost, or provide a separate commercial statement of work for dedicated bespoke integration.</w:t>
            </w:r>
          </w:p>
        </w:tc>
      </w:tr>
    </w:tbl>
    <w:p>
      <w:pPr>
        <w:spacing w:after="160"/>
      </w:pPr>
    </w:p>
    <w:tbl>
      <w:tblPr>
        <w:tblW w:type="auto" w:w="0"/>
        <w:jc w:val="center"/>
        <w:tblLook w:firstColumn="1" w:firstRow="1" w:lastColumn="0" w:lastRow="0" w:noHBand="0" w:noVBand="1" w:val="04A0"/>
      </w:tblPr>
      <w:tblGrid>
        <w:gridCol w:w="4968"/>
        <w:gridCol w:w="4968"/>
      </w:tblGrid>
      <w:tr>
        <w:tc>
          <w:tcPr>
            <w:tcW w:type="dxa" w:w="9936"/>
            <w:gridSpan w:val="2"/>
            <w:shd w:fill="EAEFF5"/>
            <w:tcMar>
              <w:top w:w="80" w:type="dxa"/>
              <w:bottom w:w="80" w:type="dxa"/>
              <w:left w:w="120" w:type="dxa"/>
              <w:right w:w="120" w:type="dxa"/>
            </w:tcMar>
          </w:tcPr>
          <w:p>
            <w:r>
              <w:rPr>
                <w:b/>
                <w:color w:val="0F2A4A"/>
                <w:sz w:val="22"/>
              </w:rPr>
              <w:t>Пункт 3. Гарантия по искусственному интеллекту (Part 2, Clause 13.2)</w:t>
            </w:r>
            <w:r>
              <w:rPr>
                <w:b/>
                <w:color w:val="B48C00"/>
                <w:sz w:val="20"/>
              </w:rPr>
              <w:t xml:space="preserve">  |  Уровень риска: MEDIUM (Средний риск)</w:t>
            </w:r>
          </w:p>
        </w:tc>
      </w:tr>
      <w:tr>
        <w:tc>
          <w:tcPr>
            <w:tcW w:type="dxa" w:w="3168"/>
            <w:shd w:fill="F7F9FB"/>
            <w:tcMar>
              <w:top w:w="60" w:type="dxa"/>
              <w:bottom w:w="60" w:type="dxa"/>
              <w:left w:w="100" w:type="dxa"/>
              <w:right w:w="100" w:type="dxa"/>
            </w:tcMar>
          </w:tcPr>
          <w:p>
            <w:r>
              <w:rPr>
                <w:b/>
                <w:sz w:val="19"/>
              </w:rPr>
              <w:t>Суть запроса LLI:</w:t>
            </w:r>
          </w:p>
        </w:tc>
        <w:tc>
          <w:tcPr>
            <w:tcW w:type="dxa" w:w="6624"/>
            <w:tcMar>
              <w:top w:w="60" w:type="dxa"/>
              <w:bottom w:w="60" w:type="dxa"/>
              <w:left w:w="100" w:type="dxa"/>
              <w:right w:w="100" w:type="dxa"/>
            </w:tcMar>
          </w:tcPr>
          <w:p>
            <w:r>
              <w:rPr>
                <w:sz w:val="19"/>
              </w:rPr>
              <w:t>Запретить предоставление клиенту любых данных, которые получены/сгенерированы исключительно инструментами или моделями искусственного интеллекта.</w:t>
            </w:r>
          </w:p>
        </w:tc>
      </w:tr>
      <w:tr>
        <w:tc>
          <w:tcPr>
            <w:tcW w:type="dxa" w:w="3168"/>
            <w:shd w:fill="FDE8E8"/>
            <w:tcMar>
              <w:top w:w="60" w:type="dxa"/>
              <w:bottom w:w="60" w:type="dxa"/>
              <w:left w:w="100" w:type="dxa"/>
              <w:right w:w="100" w:type="dxa"/>
            </w:tcMar>
          </w:tcPr>
          <w:p>
            <w:r>
              <w:rPr>
                <w:b/>
                <w:sz w:val="19"/>
              </w:rPr>
              <w:t>Формулировка LLI (в их драфте):</w:t>
            </w:r>
          </w:p>
        </w:tc>
        <w:tc>
          <w:tcPr>
            <w:tcW w:type="dxa" w:w="6624"/>
            <w:shd w:fill="FDE8E8"/>
            <w:tcMar>
              <w:top w:w="60" w:type="dxa"/>
              <w:bottom w:w="60" w:type="dxa"/>
              <w:left w:w="100" w:type="dxa"/>
              <w:right w:w="100" w:type="dxa"/>
            </w:tcMar>
          </w:tcPr>
          <w:p>
            <w:r>
              <w:rPr>
                <w:i/>
                <w:sz w:val="19"/>
              </w:rPr>
              <w:t>The Provider warrants to the Client that the Provider shall not provide any content or data to the Client (whether via navo24.com and associated Digital Solutions or otherwise) which is sourced entirely from artificial intelligence tools or models.</w:t>
            </w:r>
          </w:p>
        </w:tc>
      </w:tr>
      <w:tr>
        <w:tc>
          <w:tcPr>
            <w:tcW w:type="dxa" w:w="3168"/>
            <w:shd w:fill="FFF3CD"/>
            <w:tcMar>
              <w:top w:w="60" w:type="dxa"/>
              <w:bottom w:w="60" w:type="dxa"/>
              <w:left w:w="100" w:type="dxa"/>
              <w:right w:w="100" w:type="dxa"/>
            </w:tcMar>
          </w:tcPr>
          <w:p>
            <w:r>
              <w:rPr>
                <w:b/>
                <w:sz w:val="19"/>
              </w:rPr>
              <w:t>Юридический риск для Navo:</w:t>
            </w:r>
          </w:p>
        </w:tc>
        <w:tc>
          <w:tcPr>
            <w:tcW w:type="dxa" w:w="6624"/>
            <w:shd w:fill="FFF3CD"/>
            <w:tcMar>
              <w:top w:w="60" w:type="dxa"/>
              <w:bottom w:w="60" w:type="dxa"/>
              <w:left w:w="100" w:type="dxa"/>
              <w:right w:w="100" w:type="dxa"/>
            </w:tcMar>
          </w:tcPr>
          <w:p>
            <w:r>
              <w:rPr>
                <w:sz w:val="19"/>
              </w:rPr>
              <w:t>Хотя цель пункта — исключить синтетические галлюцинации LLM, Navo24 использует алгоритмы и AI-пайплайны для парсинга, OCR и очистки данных от морских перевозчиков.</w:t>
            </w:r>
          </w:p>
        </w:tc>
      </w:tr>
      <w:tr>
        <w:tc>
          <w:tcPr>
            <w:tcW w:type="dxa" w:w="3168"/>
            <w:shd w:fill="E8F5E9"/>
            <w:tcMar>
              <w:top w:w="60" w:type="dxa"/>
              <w:bottom w:w="60" w:type="dxa"/>
              <w:left w:w="100" w:type="dxa"/>
              <w:right w:w="100" w:type="dxa"/>
            </w:tcMar>
          </w:tcPr>
          <w:p>
            <w:r>
              <w:rPr>
                <w:b/>
                <w:sz w:val="19"/>
              </w:rPr>
              <w:t>Что предлагаем мы (Navo):</w:t>
            </w:r>
          </w:p>
        </w:tc>
        <w:tc>
          <w:tcPr>
            <w:tcW w:type="dxa" w:w="6624"/>
            <w:shd w:fill="E8F5E9"/>
            <w:tcMar>
              <w:top w:w="60" w:type="dxa"/>
              <w:bottom w:w="60" w:type="dxa"/>
              <w:left w:w="100" w:type="dxa"/>
              <w:right w:w="100" w:type="dxa"/>
            </w:tcMar>
          </w:tcPr>
          <w:p>
            <w:r>
              <w:rPr>
                <w:sz w:val="19"/>
              </w:rPr>
              <w:t>Принять гарантию, явно уточнив, что алгоритмическая нормализация, извлечение данных, OCR и валидация реальных данных с морских линий полностью разрешены.</w:t>
            </w:r>
          </w:p>
        </w:tc>
      </w:tr>
      <w:tr>
        <w:tc>
          <w:tcPr>
            <w:tcW w:type="dxa" w:w="3168"/>
            <w:shd w:fill="D4EDDA"/>
            <w:tcMar>
              <w:top w:w="60" w:type="dxa"/>
              <w:bottom w:w="60" w:type="dxa"/>
              <w:left w:w="100" w:type="dxa"/>
              <w:right w:w="100" w:type="dxa"/>
            </w:tcMar>
          </w:tcPr>
          <w:p>
            <w:r>
              <w:rPr>
                <w:b/>
                <w:sz w:val="19"/>
              </w:rPr>
              <w:t>Готовый текст для договора (Redline):</w:t>
            </w:r>
          </w:p>
        </w:tc>
        <w:tc>
          <w:tcPr>
            <w:tcW w:type="dxa" w:w="6624"/>
            <w:shd w:fill="D4EDDA"/>
            <w:tcMar>
              <w:top w:w="60" w:type="dxa"/>
              <w:bottom w:w="60" w:type="dxa"/>
              <w:left w:w="100" w:type="dxa"/>
              <w:right w:w="100" w:type="dxa"/>
            </w:tcMar>
          </w:tcPr>
          <w:p>
            <w:r>
              <w:rPr>
                <w:b/>
                <w:color w:val="14641E"/>
                <w:sz w:val="19"/>
              </w:rPr>
              <w:t>The Provider warrants that all freight and tracking intelligence data delivered to Client reflects actual operational records obtained from ocean carriers, ports, or shipping registers, and is not synthetic content generated by artificial intelligence. For the avoidance of doubt, the use of AI/algorithmic tools for data parsing, extraction, normalization, and quality validation of real-world data remains fully permitted.</w:t>
            </w:r>
          </w:p>
        </w:tc>
      </w:tr>
    </w:tbl>
    <w:p>
      <w:pPr>
        <w:spacing w:after="160"/>
      </w:pPr>
    </w:p>
    <w:tbl>
      <w:tblPr>
        <w:tblW w:type="auto" w:w="0"/>
        <w:jc w:val="center"/>
        <w:tblLook w:firstColumn="1" w:firstRow="1" w:lastColumn="0" w:lastRow="0" w:noHBand="0" w:noVBand="1" w:val="04A0"/>
      </w:tblPr>
      <w:tblGrid>
        <w:gridCol w:w="4968"/>
        <w:gridCol w:w="4968"/>
      </w:tblGrid>
      <w:tr>
        <w:tc>
          <w:tcPr>
            <w:tcW w:type="dxa" w:w="9936"/>
            <w:gridSpan w:val="2"/>
            <w:shd w:fill="EAEFF5"/>
            <w:tcMar>
              <w:top w:w="80" w:type="dxa"/>
              <w:bottom w:w="80" w:type="dxa"/>
              <w:left w:w="120" w:type="dxa"/>
              <w:right w:w="120" w:type="dxa"/>
            </w:tcMar>
          </w:tcPr>
          <w:p>
            <w:r>
              <w:rPr>
                <w:b/>
                <w:color w:val="0F2A4A"/>
                <w:sz w:val="22"/>
              </w:rPr>
              <w:t>Пункт 4. Лимит ответственности и косвенные убытки (Part 1, Clause 6)</w:t>
            </w:r>
            <w:r>
              <w:rPr>
                <w:b/>
                <w:color w:val="B48C00"/>
                <w:sz w:val="20"/>
              </w:rPr>
              <w:t xml:space="preserve">  |  Уровень риска: MEDIUM / LOW (Требуется исправление синтаксиса)</w:t>
            </w:r>
          </w:p>
        </w:tc>
      </w:tr>
      <w:tr>
        <w:tc>
          <w:tcPr>
            <w:tcW w:type="dxa" w:w="3168"/>
            <w:shd w:fill="F7F9FB"/>
            <w:tcMar>
              <w:top w:w="60" w:type="dxa"/>
              <w:bottom w:w="60" w:type="dxa"/>
              <w:left w:w="100" w:type="dxa"/>
              <w:right w:w="100" w:type="dxa"/>
            </w:tcMar>
          </w:tcPr>
          <w:p>
            <w:r>
              <w:rPr>
                <w:b/>
                <w:sz w:val="19"/>
              </w:rPr>
              <w:t>Суть запроса LLI:</w:t>
            </w:r>
          </w:p>
        </w:tc>
        <w:tc>
          <w:tcPr>
            <w:tcW w:type="dxa" w:w="6624"/>
            <w:tcMar>
              <w:top w:w="60" w:type="dxa"/>
              <w:bottom w:w="60" w:type="dxa"/>
              <w:left w:w="100" w:type="dxa"/>
              <w:right w:w="100" w:type="dxa"/>
            </w:tcMar>
          </w:tcPr>
          <w:p>
            <w:r>
              <w:rPr>
                <w:sz w:val="19"/>
              </w:rPr>
              <w:t>Сохранить ограничение ответственности £25,000 или 100% годовых сборов, но в тексте клиента пропущено слово и обрезана фраза.</w:t>
            </w:r>
          </w:p>
        </w:tc>
      </w:tr>
      <w:tr>
        <w:tc>
          <w:tcPr>
            <w:tcW w:type="dxa" w:w="3168"/>
            <w:shd w:fill="FDE8E8"/>
            <w:tcMar>
              <w:top w:w="60" w:type="dxa"/>
              <w:bottom w:w="60" w:type="dxa"/>
              <w:left w:w="100" w:type="dxa"/>
              <w:right w:w="100" w:type="dxa"/>
            </w:tcMar>
          </w:tcPr>
          <w:p>
            <w:r>
              <w:rPr>
                <w:b/>
                <w:sz w:val="19"/>
              </w:rPr>
              <w:t>Формулировка LLI (в их драфте):</w:t>
            </w:r>
          </w:p>
        </w:tc>
        <w:tc>
          <w:tcPr>
            <w:tcW w:type="dxa" w:w="6624"/>
            <w:shd w:fill="FDE8E8"/>
            <w:tcMar>
              <w:top w:w="60" w:type="dxa"/>
              <w:bottom w:w="60" w:type="dxa"/>
              <w:left w:w="100" w:type="dxa"/>
              <w:right w:w="100" w:type="dxa"/>
            </w:tcMar>
          </w:tcPr>
          <w:p>
            <w:r>
              <w:rPr>
                <w:i/>
                <w:sz w:val="19"/>
              </w:rPr>
              <w:t>• Liability Cap:  total aggregate liability arising out of or in connection with this Agreement in any 12-month period shall be limited to the greater of 100% of the total Charges paid or payable by Client in that 12-month period, or GBP 25,000.</w:t>
            </w:r>
          </w:p>
        </w:tc>
      </w:tr>
      <w:tr>
        <w:tc>
          <w:tcPr>
            <w:tcW w:type="dxa" w:w="3168"/>
            <w:shd w:fill="FFF3CD"/>
            <w:tcMar>
              <w:top w:w="60" w:type="dxa"/>
              <w:bottom w:w="60" w:type="dxa"/>
              <w:left w:w="100" w:type="dxa"/>
              <w:right w:w="100" w:type="dxa"/>
            </w:tcMar>
          </w:tcPr>
          <w:p>
            <w:r>
              <w:rPr>
                <w:b/>
                <w:sz w:val="19"/>
              </w:rPr>
              <w:t>Юридический риск для Navo:</w:t>
            </w:r>
          </w:p>
        </w:tc>
        <w:tc>
          <w:tcPr>
            <w:tcW w:type="dxa" w:w="6624"/>
            <w:shd w:fill="FFF3CD"/>
            <w:tcMar>
              <w:top w:w="60" w:type="dxa"/>
              <w:bottom w:w="60" w:type="dxa"/>
              <w:left w:w="100" w:type="dxa"/>
              <w:right w:w="100" w:type="dxa"/>
            </w:tcMar>
          </w:tcPr>
          <w:p>
            <w:r>
              <w:rPr>
                <w:sz w:val="19"/>
              </w:rPr>
              <w:t>Грамматическая дыра ('Liability Cap:  total aggregate...') оставляет двусмысленность относительно того, чья именно ответственность ограничивается (должно быть взаимно — Each Party's).</w:t>
            </w:r>
          </w:p>
        </w:tc>
      </w:tr>
      <w:tr>
        <w:tc>
          <w:tcPr>
            <w:tcW w:type="dxa" w:w="3168"/>
            <w:shd w:fill="E8F5E9"/>
            <w:tcMar>
              <w:top w:w="60" w:type="dxa"/>
              <w:bottom w:w="60" w:type="dxa"/>
              <w:left w:w="100" w:type="dxa"/>
              <w:right w:w="100" w:type="dxa"/>
            </w:tcMar>
          </w:tcPr>
          <w:p>
            <w:r>
              <w:rPr>
                <w:b/>
                <w:sz w:val="19"/>
              </w:rPr>
              <w:t>Что предлагаем мы (Navo):</w:t>
            </w:r>
          </w:p>
        </w:tc>
        <w:tc>
          <w:tcPr>
            <w:tcW w:type="dxa" w:w="6624"/>
            <w:shd w:fill="E8F5E9"/>
            <w:tcMar>
              <w:top w:w="60" w:type="dxa"/>
              <w:bottom w:w="60" w:type="dxa"/>
              <w:left w:w="100" w:type="dxa"/>
              <w:right w:w="100" w:type="dxa"/>
            </w:tcMar>
          </w:tcPr>
          <w:p>
            <w:r>
              <w:rPr>
                <w:sz w:val="19"/>
              </w:rPr>
              <w:t>Восстановить чистовую взаимную формулировку лимита ответственности.</w:t>
            </w:r>
          </w:p>
        </w:tc>
      </w:tr>
      <w:tr>
        <w:tc>
          <w:tcPr>
            <w:tcW w:type="dxa" w:w="3168"/>
            <w:shd w:fill="D4EDDA"/>
            <w:tcMar>
              <w:top w:w="60" w:type="dxa"/>
              <w:bottom w:w="60" w:type="dxa"/>
              <w:left w:w="100" w:type="dxa"/>
              <w:right w:w="100" w:type="dxa"/>
            </w:tcMar>
          </w:tcPr>
          <w:p>
            <w:r>
              <w:rPr>
                <w:b/>
                <w:sz w:val="19"/>
              </w:rPr>
              <w:t>Готовый текст для договора (Redline):</w:t>
            </w:r>
          </w:p>
        </w:tc>
        <w:tc>
          <w:tcPr>
            <w:tcW w:type="dxa" w:w="6624"/>
            <w:shd w:fill="D4EDDA"/>
            <w:tcMar>
              <w:top w:w="60" w:type="dxa"/>
              <w:bottom w:w="60" w:type="dxa"/>
              <w:left w:w="100" w:type="dxa"/>
              <w:right w:w="100" w:type="dxa"/>
            </w:tcMar>
          </w:tcPr>
          <w:p>
            <w:r>
              <w:rPr>
                <w:b/>
                <w:color w:val="14641E"/>
                <w:sz w:val="19"/>
              </w:rPr>
              <w:t>• Liability Cap: Each Party's total aggregate liability arising out of or in connection with this Agreement in any twelve (12) month contract period shall be strictly limited to the greater of: (i) 100% of the total Charges paid or payable by Client in that 12-month period; or (ii) GBP 25,000.</w:t>
              <w:br/>
              <w:t>• Mutual Consequential Damages Exclusion: Neither Party shall be liable for indirect, special, punitive, or consequential damages, loss of business, or loss of prospective profits.</w:t>
            </w:r>
          </w:p>
        </w:tc>
      </w:tr>
    </w:tbl>
    <w:p>
      <w:pPr>
        <w:spacing w:after="160"/>
      </w:pPr>
    </w:p>
    <w:tbl>
      <w:tblPr>
        <w:tblW w:type="auto" w:w="0"/>
        <w:jc w:val="center"/>
        <w:tblLook w:firstColumn="1" w:firstRow="1" w:lastColumn="0" w:lastRow="0" w:noHBand="0" w:noVBand="1" w:val="04A0"/>
      </w:tblPr>
      <w:tblGrid>
        <w:gridCol w:w="4968"/>
        <w:gridCol w:w="4968"/>
      </w:tblGrid>
      <w:tr>
        <w:tc>
          <w:tcPr>
            <w:tcW w:type="dxa" w:w="9936"/>
            <w:gridSpan w:val="2"/>
            <w:shd w:fill="EAEFF5"/>
            <w:tcMar>
              <w:top w:w="80" w:type="dxa"/>
              <w:bottom w:w="80" w:type="dxa"/>
              <w:left w:w="120" w:type="dxa"/>
              <w:right w:w="120" w:type="dxa"/>
            </w:tcMar>
          </w:tcPr>
          <w:p>
            <w:r>
              <w:rPr>
                <w:b/>
                <w:color w:val="0F2A4A"/>
                <w:sz w:val="22"/>
              </w:rPr>
              <w:t>Пункт 5. Заполнение пустых полей и исправление обрезанного текста (Part 1 &amp; Part 2)</w:t>
            </w:r>
            <w:r>
              <w:rPr>
                <w:b/>
                <w:color w:val="288C28"/>
                <w:sz w:val="20"/>
              </w:rPr>
              <w:t xml:space="preserve">  |  Уровень риска: LOW (Технические параметры)</w:t>
            </w:r>
          </w:p>
        </w:tc>
      </w:tr>
      <w:tr>
        <w:tc>
          <w:tcPr>
            <w:tcW w:type="dxa" w:w="3168"/>
            <w:shd w:fill="F7F9FB"/>
            <w:tcMar>
              <w:top w:w="60" w:type="dxa"/>
              <w:bottom w:w="60" w:type="dxa"/>
              <w:left w:w="100" w:type="dxa"/>
              <w:right w:w="100" w:type="dxa"/>
            </w:tcMar>
          </w:tcPr>
          <w:p>
            <w:r>
              <w:rPr>
                <w:b/>
                <w:sz w:val="19"/>
              </w:rPr>
              <w:t>Суть запроса LLI:</w:t>
            </w:r>
          </w:p>
        </w:tc>
        <w:tc>
          <w:tcPr>
            <w:tcW w:type="dxa" w:w="6624"/>
            <w:tcMar>
              <w:top w:w="60" w:type="dxa"/>
              <w:bottom w:w="60" w:type="dxa"/>
              <w:left w:w="100" w:type="dxa"/>
              <w:right w:w="100" w:type="dxa"/>
            </w:tcMar>
          </w:tcPr>
          <w:p>
            <w:r>
              <w:rPr>
                <w:sz w:val="19"/>
              </w:rPr>
              <w:t>Клиент оставил незаполненными ключевые коммерческие условия и случайно обрезал несколько строк при редактировании.</w:t>
            </w:r>
          </w:p>
        </w:tc>
      </w:tr>
      <w:tr>
        <w:tc>
          <w:tcPr>
            <w:tcW w:type="dxa" w:w="3168"/>
            <w:shd w:fill="FDE8E8"/>
            <w:tcMar>
              <w:top w:w="60" w:type="dxa"/>
              <w:bottom w:w="60" w:type="dxa"/>
              <w:left w:w="100" w:type="dxa"/>
              <w:right w:w="100" w:type="dxa"/>
            </w:tcMar>
          </w:tcPr>
          <w:p>
            <w:r>
              <w:rPr>
                <w:b/>
                <w:sz w:val="19"/>
              </w:rPr>
              <w:t>Формулировка LLI (в их драфте):</w:t>
            </w:r>
          </w:p>
        </w:tc>
        <w:tc>
          <w:tcPr>
            <w:tcW w:type="dxa" w:w="6624"/>
            <w:shd w:fill="FDE8E8"/>
            <w:tcMar>
              <w:top w:w="60" w:type="dxa"/>
              <w:bottom w:w="60" w:type="dxa"/>
              <w:left w:w="100" w:type="dxa"/>
              <w:right w:w="100" w:type="dxa"/>
            </w:tcMar>
          </w:tcPr>
          <w:p>
            <w:r>
              <w:rPr>
                <w:i/>
                <w:sz w:val="19"/>
              </w:rPr>
              <w:t>1. Subscription Activation Date: 2026</w:t>
              <w:br/>
              <w:t>2. Initial Term:  months</w:t>
              <w:br/>
              <w:t>3. Service Levels: [TBC]</w:t>
              <w:br/>
              <w:t>4. Payment Due Date: Net  calendar days</w:t>
              <w:br/>
              <w:t>5. Cl. 4: '...and to derived data to Client's end subscribers'</w:t>
              <w:br/>
              <w:t>6. Cl. 5: 'Both Parties commit to the full • Termination for Cause:'</w:t>
              <w:br/>
              <w:t>7. Cl. 5.2: '...without prior.'</w:t>
              <w:br/>
              <w:t>8. Cl. 10.3: '...with at leastprior written notice...'</w:t>
            </w:r>
          </w:p>
        </w:tc>
      </w:tr>
      <w:tr>
        <w:tc>
          <w:tcPr>
            <w:tcW w:type="dxa" w:w="3168"/>
            <w:shd w:fill="FFF3CD"/>
            <w:tcMar>
              <w:top w:w="60" w:type="dxa"/>
              <w:bottom w:w="60" w:type="dxa"/>
              <w:left w:w="100" w:type="dxa"/>
              <w:right w:w="100" w:type="dxa"/>
            </w:tcMar>
          </w:tcPr>
          <w:p>
            <w:r>
              <w:rPr>
                <w:b/>
                <w:sz w:val="19"/>
              </w:rPr>
              <w:t>Юридический риск для Navo:</w:t>
            </w:r>
          </w:p>
        </w:tc>
        <w:tc>
          <w:tcPr>
            <w:tcW w:type="dxa" w:w="6624"/>
            <w:shd w:fill="FFF3CD"/>
            <w:tcMar>
              <w:top w:w="60" w:type="dxa"/>
              <w:bottom w:w="60" w:type="dxa"/>
              <w:left w:w="100" w:type="dxa"/>
              <w:right w:w="100" w:type="dxa"/>
            </w:tcMar>
          </w:tcPr>
          <w:p>
            <w:r>
              <w:rPr>
                <w:sz w:val="19"/>
              </w:rPr>
              <w:t>Договор с пустыми полями и незавершенными фразами юридически уязвим и выглядит непрофессионально.</w:t>
            </w:r>
          </w:p>
        </w:tc>
      </w:tr>
      <w:tr>
        <w:tc>
          <w:tcPr>
            <w:tcW w:type="dxa" w:w="3168"/>
            <w:shd w:fill="E8F5E9"/>
            <w:tcMar>
              <w:top w:w="60" w:type="dxa"/>
              <w:bottom w:w="60" w:type="dxa"/>
              <w:left w:w="100" w:type="dxa"/>
              <w:right w:w="100" w:type="dxa"/>
            </w:tcMar>
          </w:tcPr>
          <w:p>
            <w:r>
              <w:rPr>
                <w:b/>
                <w:sz w:val="19"/>
              </w:rPr>
              <w:t>Что предлагаем мы (Navo):</w:t>
            </w:r>
          </w:p>
        </w:tc>
        <w:tc>
          <w:tcPr>
            <w:tcW w:type="dxa" w:w="6624"/>
            <w:shd w:fill="E8F5E9"/>
            <w:tcMar>
              <w:top w:w="60" w:type="dxa"/>
              <w:bottom w:w="60" w:type="dxa"/>
              <w:left w:w="100" w:type="dxa"/>
              <w:right w:w="100" w:type="dxa"/>
            </w:tcMar>
          </w:tcPr>
          <w:p>
            <w:r>
              <w:rPr>
                <w:sz w:val="19"/>
              </w:rPr>
              <w:t>Заполнить все параметры на согласованных стандартных условиях Navo24.</w:t>
            </w:r>
          </w:p>
        </w:tc>
      </w:tr>
      <w:tr>
        <w:tc>
          <w:tcPr>
            <w:tcW w:type="dxa" w:w="3168"/>
            <w:shd w:fill="D4EDDA"/>
            <w:tcMar>
              <w:top w:w="60" w:type="dxa"/>
              <w:bottom w:w="60" w:type="dxa"/>
              <w:left w:w="100" w:type="dxa"/>
              <w:right w:w="100" w:type="dxa"/>
            </w:tcMar>
          </w:tcPr>
          <w:p>
            <w:r>
              <w:rPr>
                <w:b/>
                <w:sz w:val="19"/>
              </w:rPr>
              <w:t>Готовый текст для договора (Redline):</w:t>
            </w:r>
          </w:p>
        </w:tc>
        <w:tc>
          <w:tcPr>
            <w:tcW w:type="dxa" w:w="6624"/>
            <w:shd w:fill="D4EDDA"/>
            <w:tcMar>
              <w:top w:w="60" w:type="dxa"/>
              <w:bottom w:w="60" w:type="dxa"/>
              <w:left w:w="100" w:type="dxa"/>
              <w:right w:w="100" w:type="dxa"/>
            </w:tcMar>
          </w:tcPr>
          <w:p>
            <w:r>
              <w:rPr>
                <w:b/>
                <w:color w:val="14641E"/>
                <w:sz w:val="19"/>
              </w:rPr>
              <w:t>1. Subscription Activation Date: [1 September 2026]</w:t>
              <w:br/>
              <w:t>2. Initial Term: 12 months (с авто-продлением и уведомлением за 60 дней)</w:t>
              <w:br/>
              <w:t>3. Service Levels: 99.5% Platform Availability Target (excluding scheduled off-peak maintenance)</w:t>
              <w:br/>
              <w:t>4. Payment Due Date: Net 30 calendar days from receipt of valid VAT invoice</w:t>
              <w:br/>
              <w:t>5. Cl. 4: '...and to distribute derived data to Client's end subscribers'</w:t>
              <w:br/>
              <w:t>6. Cl. 5: 'Both Parties commit to the initial committed term. Termination for Cause:'</w:t>
              <w:br/>
              <w:t>7. Cl. 5.2: '...without prior written notice.'</w:t>
              <w:br/>
              <w:t>8. Cl. 10.3: '...with at least sixty (60) days' prior written notice...'</w:t>
            </w:r>
          </w:p>
        </w:tc>
      </w:tr>
    </w:tbl>
    <w:p>
      <w:pPr>
        <w:spacing w:after="160"/>
      </w:pPr>
    </w:p>
    <w:p>
      <w:pPr>
        <w:spacing w:before="160" w:after="80"/>
      </w:pPr>
      <w:r>
        <w:rPr>
          <w:b/>
          <w:color w:val="0F2A4A"/>
          <w:sz w:val="26"/>
        </w:rPr>
        <w:t>3. Рекомендуемые действия для согласования</w:t>
      </w:r>
    </w:p>
    <w:p>
      <w:pPr>
        <w:spacing w:after="60"/>
      </w:pPr>
      <w:r>
        <w:rPr>
          <w:sz w:val="20"/>
        </w:rPr>
        <w:t>1. Согласовать внутри команды (Stefan, Alexey, Kate) предложенные формулировки (в особенности по приоритету условий и разработке коннекторов).</w:t>
      </w:r>
    </w:p>
    <w:p>
      <w:pPr>
        <w:spacing w:after="60"/>
      </w:pPr>
      <w:r>
        <w:rPr>
          <w:sz w:val="20"/>
        </w:rPr>
        <w:t>2. Отправить клиенту подготовленное сопроводительное письмо (Cover Letter) с объяснением нашей SaaS-позиции.</w:t>
      </w:r>
    </w:p>
    <w:p>
      <w:pPr>
        <w:spacing w:after="60"/>
      </w:pPr>
      <w:r>
        <w:rPr>
          <w:sz w:val="20"/>
        </w:rPr>
        <w:t>3. Приложить чистовой вариант договора с принятыми разумными правками LLI и защищенным разделом Order of Precedence.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