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C1BA" w14:textId="77777777" w:rsidR="00412060" w:rsidRPr="00394928" w:rsidRDefault="00412060" w:rsidP="00412060">
      <w:pPr>
        <w:pStyle w:val="Textoindependiente"/>
        <w:rPr>
          <w:rFonts w:ascii="Times New Roman" w:hAnsi="Times New Roman" w:cs="Times New Roman"/>
          <w:sz w:val="20"/>
        </w:rPr>
      </w:pPr>
    </w:p>
    <w:p w14:paraId="0956D570" w14:textId="77777777" w:rsidR="00412060" w:rsidRPr="00394928" w:rsidRDefault="00412060" w:rsidP="00412060">
      <w:pPr>
        <w:pStyle w:val="Textoindependiente"/>
        <w:spacing w:before="4"/>
        <w:rPr>
          <w:rFonts w:ascii="Times New Roman" w:hAnsi="Times New Roman" w:cs="Times New Roman"/>
          <w:sz w:val="26"/>
        </w:rPr>
      </w:pPr>
    </w:p>
    <w:p w14:paraId="6346ED7F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52A3A8A3" wp14:editId="6B8957BE">
            <wp:simplePos x="0" y="0"/>
            <wp:positionH relativeFrom="page">
              <wp:posOffset>688340</wp:posOffset>
            </wp:positionH>
            <wp:positionV relativeFrom="paragraph">
              <wp:posOffset>-322506</wp:posOffset>
            </wp:positionV>
            <wp:extent cx="702310" cy="913968"/>
            <wp:effectExtent l="0" t="0" r="0" b="0"/>
            <wp:wrapNone/>
            <wp:docPr id="1" name="image1.jpeg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Interfaz de usuario gráfica&#10;&#10;Descripción generada automá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310" cy="91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4928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 wp14:anchorId="0EF80EC2" wp14:editId="5D5AF055">
            <wp:simplePos x="0" y="0"/>
            <wp:positionH relativeFrom="page">
              <wp:posOffset>5795645</wp:posOffset>
            </wp:positionH>
            <wp:positionV relativeFrom="paragraph">
              <wp:posOffset>-483085</wp:posOffset>
            </wp:positionV>
            <wp:extent cx="930909" cy="998093"/>
            <wp:effectExtent l="0" t="0" r="0" b="0"/>
            <wp:wrapNone/>
            <wp:docPr id="3" name="image2.jpeg" descr="Diagrama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Diagrama, Logotipo&#10;&#10;Descripción generada automá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909" cy="99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4928">
        <w:rPr>
          <w:rFonts w:ascii="Times New Roman" w:hAnsi="Times New Roman" w:cs="Times New Roman"/>
        </w:rPr>
        <w:t xml:space="preserve"> </w:t>
      </w: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UNIVERSIDAD DE </w:t>
      </w:r>
    </w:p>
    <w:p w14:paraId="331209BD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GUAYAQUIL </w:t>
      </w:r>
    </w:p>
    <w:p w14:paraId="560C6104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FACULTAD DE </w:t>
      </w:r>
    </w:p>
    <w:p w14:paraId="33F2A9A0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JURISPRUDENCIA </w:t>
      </w:r>
    </w:p>
    <w:p w14:paraId="7F622A6D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CIENCIAS SOCIALES Y </w:t>
      </w:r>
    </w:p>
    <w:p w14:paraId="7402867D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POLÍTICAS </w:t>
      </w:r>
    </w:p>
    <w:p w14:paraId="1FEE6305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>Asignatura:</w:t>
      </w:r>
      <w:r w:rsidRPr="00394928">
        <w:rPr>
          <w:rFonts w:ascii="Times New Roman" w:hAnsi="Times New Roman" w:cs="Times New Roman"/>
          <w:b/>
          <w:color w:val="0F9ED5" w:themeColor="accent4"/>
          <w:sz w:val="40"/>
          <w:szCs w:val="40"/>
        </w:rPr>
        <w:t xml:space="preserve"> </w:t>
      </w:r>
    </w:p>
    <w:p w14:paraId="1759892A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Estadística II</w:t>
      </w:r>
    </w:p>
    <w:p w14:paraId="60EFDBA2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Docente: </w:t>
      </w:r>
    </w:p>
    <w:p w14:paraId="6CC9CBB6" w14:textId="77777777" w:rsidR="00412060" w:rsidRPr="009233A9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Msc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Dalia </w:t>
      </w:r>
      <w:proofErr w:type="spellStart"/>
      <w:r>
        <w:rPr>
          <w:rFonts w:ascii="Times New Roman" w:hAnsi="Times New Roman" w:cs="Times New Roman"/>
          <w:sz w:val="40"/>
          <w:szCs w:val="40"/>
        </w:rPr>
        <w:t>Yasmin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Ortiz Reinoso</w:t>
      </w:r>
    </w:p>
    <w:p w14:paraId="1498FA9C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Integrantes: </w:t>
      </w:r>
    </w:p>
    <w:p w14:paraId="4BD2DEF4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Helen Analía Ruíz Jácome</w:t>
      </w:r>
    </w:p>
    <w:p w14:paraId="73C01DE4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Delgado Zambrano Diego</w:t>
      </w:r>
    </w:p>
    <w:p w14:paraId="2C479935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Rojas Dueñas Valeria</w:t>
      </w:r>
    </w:p>
    <w:p w14:paraId="51CD56F3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Sánchez Zambrano Arelys</w:t>
      </w:r>
    </w:p>
    <w:p w14:paraId="4D8D9A2B" w14:textId="77777777" w:rsidR="00412060" w:rsidRPr="00394928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Teran Arroyo Emily</w:t>
      </w:r>
    </w:p>
    <w:p w14:paraId="4C60410E" w14:textId="77777777" w:rsidR="00412060" w:rsidRPr="00414AE3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414AE3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Paralelo: </w:t>
      </w:r>
    </w:p>
    <w:p w14:paraId="23ACA355" w14:textId="77777777" w:rsidR="00412060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94928">
        <w:rPr>
          <w:rFonts w:ascii="Times New Roman" w:hAnsi="Times New Roman" w:cs="Times New Roman"/>
          <w:sz w:val="40"/>
          <w:szCs w:val="40"/>
        </w:rPr>
        <w:t>DER-S-MA-</w:t>
      </w:r>
      <w:r>
        <w:rPr>
          <w:rFonts w:ascii="Times New Roman" w:hAnsi="Times New Roman" w:cs="Times New Roman"/>
          <w:sz w:val="40"/>
          <w:szCs w:val="40"/>
        </w:rPr>
        <w:t>4</w:t>
      </w:r>
      <w:r>
        <w:rPr>
          <w:rFonts w:ascii="Times New Roman" w:hAnsi="Times New Roman" w:cs="Times New Roman"/>
          <w:sz w:val="40"/>
          <w:szCs w:val="40"/>
          <w:lang w:val="en-US"/>
        </w:rPr>
        <w:t>-3</w:t>
      </w:r>
    </w:p>
    <w:p w14:paraId="3102C746" w14:textId="77777777" w:rsidR="00412060" w:rsidRPr="00E71B5F" w:rsidRDefault="00412060" w:rsidP="00412060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bCs/>
          <w:color w:val="002060"/>
          <w:sz w:val="52"/>
          <w:lang w:val="en-US"/>
        </w:rPr>
        <w:sectPr w:rsidR="00412060" w:rsidRPr="00E71B5F" w:rsidSect="00412060">
          <w:pgSz w:w="11920" w:h="16840"/>
          <w:pgMar w:top="1540" w:right="760" w:bottom="280" w:left="980" w:header="720" w:footer="720" w:gutter="0"/>
          <w:cols w:space="720"/>
        </w:sectPr>
      </w:pPr>
      <w:r w:rsidRPr="00E71B5F">
        <w:rPr>
          <w:rFonts w:ascii="Times New Roman" w:hAnsi="Times New Roman" w:cs="Times New Roman"/>
          <w:b/>
          <w:bCs/>
          <w:color w:val="002060"/>
          <w:sz w:val="40"/>
          <w:szCs w:val="40"/>
          <w:lang w:val="en-US"/>
        </w:rPr>
        <w:t>Grupo #5</w:t>
      </w:r>
    </w:p>
    <w:p w14:paraId="42C8C913" w14:textId="77777777" w:rsidR="0004328A" w:rsidRPr="00414AE3" w:rsidRDefault="0004328A" w:rsidP="0004328A">
      <w:pPr>
        <w:pStyle w:val="Ttulo"/>
        <w:rPr>
          <w:rFonts w:ascii="Times New Roman" w:hAnsi="Times New Roman" w:cs="Times New Roman"/>
          <w:sz w:val="40"/>
          <w:szCs w:val="40"/>
        </w:rPr>
      </w:pPr>
      <w:r w:rsidRPr="00414AE3">
        <w:rPr>
          <w:rFonts w:ascii="Times New Roman" w:hAnsi="Times New Roman" w:cs="Times New Roman"/>
          <w:sz w:val="40"/>
          <w:szCs w:val="40"/>
        </w:rPr>
        <w:lastRenderedPageBreak/>
        <w:t>Análisis de Extorsiones en Guayaquil: Factores de Asociación y Tendencia Temporal (2021-2024).</w:t>
      </w:r>
    </w:p>
    <w:p w14:paraId="2BD6C5FB" w14:textId="77777777" w:rsidR="0004328A" w:rsidRPr="00394928" w:rsidRDefault="0004328A" w:rsidP="0004328A">
      <w:pPr>
        <w:pStyle w:val="Ttulo1"/>
        <w:rPr>
          <w:rFonts w:ascii="Times New Roman" w:hAnsi="Times New Roman" w:cs="Times New Roman"/>
        </w:rPr>
      </w:pPr>
      <w:bookmarkStart w:id="0" w:name="_Toc220977957"/>
      <w:bookmarkStart w:id="1" w:name="fundamento-teórico"/>
      <w:r w:rsidRPr="00394928">
        <w:rPr>
          <w:rFonts w:ascii="Times New Roman" w:hAnsi="Times New Roman" w:cs="Times New Roman"/>
        </w:rPr>
        <w:t>2. Fundamento Teórico</w:t>
      </w:r>
      <w:bookmarkEnd w:id="0"/>
    </w:p>
    <w:p w14:paraId="6975ED1F" w14:textId="77777777" w:rsidR="0004328A" w:rsidRPr="00394928" w:rsidRDefault="0004328A" w:rsidP="0004328A">
      <w:pPr>
        <w:pStyle w:val="Ttulo2"/>
        <w:rPr>
          <w:rFonts w:ascii="Times New Roman" w:hAnsi="Times New Roman" w:cs="Times New Roman"/>
        </w:rPr>
      </w:pPr>
      <w:bookmarkStart w:id="2" w:name="_Toc220977958"/>
      <w:bookmarkStart w:id="3" w:name="marco-teórico"/>
      <w:r w:rsidRPr="00394928">
        <w:rPr>
          <w:rFonts w:ascii="Times New Roman" w:hAnsi="Times New Roman" w:cs="Times New Roman"/>
        </w:rPr>
        <w:t>2.1 Marco Teórico</w:t>
      </w:r>
      <w:bookmarkEnd w:id="2"/>
    </w:p>
    <w:p w14:paraId="6C16AE47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Para la fundamentación de este estudio, se revisó la literatura existente articulando la criminología ambiental y la economía del crimen. Se analizaron tres posturas teóricas principales para explicar el fenómeno en Guayaquil (2021-2024):</w:t>
      </w:r>
    </w:p>
    <w:p w14:paraId="3D28C8D6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4" w:name="_Toc220977959"/>
      <w:bookmarkStart w:id="5" w:name="X5da4ff675a64b56d6e8507af20b5127d4206312"/>
      <w:r w:rsidRPr="00394928">
        <w:rPr>
          <w:rFonts w:ascii="Times New Roman" w:hAnsi="Times New Roman" w:cs="Times New Roman"/>
        </w:rPr>
        <w:t>Teoría de la Elección Racional y Economía del Crimen</w:t>
      </w:r>
      <w:bookmarkEnd w:id="4"/>
    </w:p>
    <w:p w14:paraId="60AD9B13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Se partió de la perspectiva del criminal como un agente racional. Según Jaitman (2022), la extorsión proliferaba cuando la “rentabilidad” del delito superaba el riesgo de sanción. En el contexto latinoamericano, </w:t>
      </w:r>
      <w:proofErr w:type="spellStart"/>
      <w:r w:rsidRPr="00394928">
        <w:rPr>
          <w:rFonts w:ascii="Times New Roman" w:hAnsi="Times New Roman" w:cs="Times New Roman"/>
        </w:rPr>
        <w:t>InSight</w:t>
      </w:r>
      <w:proofErr w:type="spellEnd"/>
      <w:r w:rsidRPr="00394928">
        <w:rPr>
          <w:rFonts w:ascii="Times New Roman" w:hAnsi="Times New Roman" w:cs="Times New Roman"/>
        </w:rPr>
        <w:t xml:space="preserve"> </w:t>
      </w:r>
      <w:proofErr w:type="spellStart"/>
      <w:r w:rsidRPr="00394928">
        <w:rPr>
          <w:rFonts w:ascii="Times New Roman" w:hAnsi="Times New Roman" w:cs="Times New Roman"/>
        </w:rPr>
        <w:t>Crime</w:t>
      </w:r>
      <w:proofErr w:type="spellEnd"/>
      <w:r w:rsidRPr="00394928">
        <w:rPr>
          <w:rFonts w:ascii="Times New Roman" w:hAnsi="Times New Roman" w:cs="Times New Roman"/>
        </w:rPr>
        <w:t xml:space="preserve"> (2022) estableció que la impunidad y la baja capacidad estatal actuaban como incentivos perversos, permitiendo que la extorsión dejara de ser un evento aleatorio para convertirse en una actividad económica planificada.</w:t>
      </w:r>
    </w:p>
    <w:p w14:paraId="7F22FFDD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6" w:name="_Toc220977960"/>
      <w:bookmarkStart w:id="7" w:name="X71ec8218792a3594247a78a8009e1bd09721646"/>
      <w:bookmarkEnd w:id="5"/>
      <w:r w:rsidRPr="00394928">
        <w:rPr>
          <w:rFonts w:ascii="Times New Roman" w:hAnsi="Times New Roman" w:cs="Times New Roman"/>
        </w:rPr>
        <w:t>Teoría de las Actividades Rutinarias y el Entorno Urbano</w:t>
      </w:r>
      <w:bookmarkEnd w:id="6"/>
    </w:p>
    <w:p w14:paraId="7CBECAED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Esta teoría sostenía que el delito ocurría por la convergencia de un agresor, un objetivo y la ausencia de vigilancia. Investigaciones en puertos como Guayaquil sugirieron que la densidad poblacional creaba “zonas calientes”. Alvarado y Mendieta (2023) argumentaron que la extorsión había mutado a un mecanismo de control territorial, donde la “ausencia del guardián” representaba la erosión del tejido social en ciertos distritos.</w:t>
      </w:r>
    </w:p>
    <w:p w14:paraId="3E7BD9DD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8" w:name="_Toc220977961"/>
      <w:bookmarkStart w:id="9" w:name="teoría-de-la-gobernanza-criminal"/>
      <w:bookmarkEnd w:id="7"/>
      <w:r w:rsidRPr="00394928">
        <w:rPr>
          <w:rFonts w:ascii="Times New Roman" w:hAnsi="Times New Roman" w:cs="Times New Roman"/>
        </w:rPr>
        <w:t>Teoría de la Gobernanza Criminal</w:t>
      </w:r>
      <w:bookmarkEnd w:id="8"/>
    </w:p>
    <w:p w14:paraId="3061BF30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Para explicar el crecimiento exponencial, se recurrió a la teoría de la gobernanza criminal. </w:t>
      </w:r>
      <w:proofErr w:type="spellStart"/>
      <w:r w:rsidRPr="00394928">
        <w:rPr>
          <w:rFonts w:ascii="Times New Roman" w:hAnsi="Times New Roman" w:cs="Times New Roman"/>
        </w:rPr>
        <w:t>Sampó</w:t>
      </w:r>
      <w:proofErr w:type="spellEnd"/>
      <w:r w:rsidRPr="00394928">
        <w:rPr>
          <w:rFonts w:ascii="Times New Roman" w:hAnsi="Times New Roman" w:cs="Times New Roman"/>
        </w:rPr>
        <w:t xml:space="preserve"> (2023) destacó que la fragmentación de bandas en Sudamérica generó una competencia violenta por la extracción de rentas. En este escenario, los grupos organizados asumieron funciones paraestatales, cobrando “vacunas” a cambio de una seguridad ficticia, transformando la dinámica delictiva en una disputa por soberanía local.</w:t>
      </w:r>
    </w:p>
    <w:p w14:paraId="30F06E5A" w14:textId="77777777" w:rsidR="0004328A" w:rsidRPr="00394928" w:rsidRDefault="0004328A" w:rsidP="0004328A">
      <w:pPr>
        <w:pStyle w:val="Ttulo2"/>
        <w:rPr>
          <w:rFonts w:ascii="Times New Roman" w:hAnsi="Times New Roman" w:cs="Times New Roman"/>
        </w:rPr>
      </w:pPr>
      <w:bookmarkStart w:id="10" w:name="_Toc220977962"/>
      <w:bookmarkStart w:id="11" w:name="marco-conceptual"/>
      <w:bookmarkEnd w:id="3"/>
      <w:bookmarkEnd w:id="9"/>
      <w:r w:rsidRPr="00394928">
        <w:rPr>
          <w:rFonts w:ascii="Times New Roman" w:hAnsi="Times New Roman" w:cs="Times New Roman"/>
        </w:rPr>
        <w:t>2.2 Marco Conceptual</w:t>
      </w:r>
      <w:bookmarkEnd w:id="10"/>
    </w:p>
    <w:p w14:paraId="12C64B57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Para la operacionalización de las variables estadísticas, se definieron los siguientes constructos basados en la revisión bibliográfica:</w:t>
      </w:r>
    </w:p>
    <w:p w14:paraId="5C44F782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12" w:name="_Toc220977963"/>
      <w:bookmarkStart w:id="13" w:name="extorsión-sistemática-vacuna"/>
      <w:r w:rsidRPr="00394928">
        <w:rPr>
          <w:rFonts w:ascii="Times New Roman" w:hAnsi="Times New Roman" w:cs="Times New Roman"/>
        </w:rPr>
        <w:t>Extorsión Sistemática (“Vacuna”)</w:t>
      </w:r>
      <w:bookmarkEnd w:id="12"/>
    </w:p>
    <w:p w14:paraId="5CD82B30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Se definió como el cobro periódico y coercitivo a cambio de protección. El Observatorio Ecuatoriano de Crimen Organizado [OECO] (2023) reportó que esta tipología creció un 400% en el periodo de estudio, diferenciándose de la extorsión simple por su carácter recurrente.</w:t>
      </w:r>
    </w:p>
    <w:p w14:paraId="6BFDBF08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14" w:name="_Toc220977964"/>
      <w:bookmarkStart w:id="15" w:name="factores-de-asociación-covariables"/>
      <w:bookmarkEnd w:id="13"/>
      <w:r w:rsidRPr="00394928">
        <w:rPr>
          <w:rFonts w:ascii="Times New Roman" w:hAnsi="Times New Roman" w:cs="Times New Roman"/>
        </w:rPr>
        <w:lastRenderedPageBreak/>
        <w:t>Factores de Asociación (Covariables)</w:t>
      </w:r>
      <w:bookmarkEnd w:id="14"/>
    </w:p>
    <w:p w14:paraId="009673A5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Se entendieron como las variables espaciales correlacionadas con la incidencia delictiva. Rivera (2024) señaló que la presencia territorial hegemónica de ciertos Grupos Delictivos Organizados (</w:t>
      </w:r>
      <w:proofErr w:type="spellStart"/>
      <w:r w:rsidRPr="00394928">
        <w:rPr>
          <w:rFonts w:ascii="Times New Roman" w:hAnsi="Times New Roman" w:cs="Times New Roman"/>
        </w:rPr>
        <w:t>GDOs</w:t>
      </w:r>
      <w:proofErr w:type="spellEnd"/>
      <w:r w:rsidRPr="00394928">
        <w:rPr>
          <w:rFonts w:ascii="Times New Roman" w:hAnsi="Times New Roman" w:cs="Times New Roman"/>
        </w:rPr>
        <w:t>) en sectores censales específicos era un factor determinante para la virulencia de la extorsión, variable que en este estudio se analizó a través de la segregación por Distritos.</w:t>
      </w:r>
    </w:p>
    <w:p w14:paraId="26DF3D69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16" w:name="_Toc220977965"/>
      <w:bookmarkStart w:id="17" w:name="tendencia-temporal-y-estacionalidad"/>
      <w:bookmarkEnd w:id="15"/>
      <w:r w:rsidRPr="00394928">
        <w:rPr>
          <w:rFonts w:ascii="Times New Roman" w:hAnsi="Times New Roman" w:cs="Times New Roman"/>
        </w:rPr>
        <w:t>Tendencia Temporal y Estacionalidad</w:t>
      </w:r>
      <w:bookmarkEnd w:id="16"/>
    </w:p>
    <w:p w14:paraId="5D43AF06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Se refirió al comportamiento de la serie de datos (2021-2024). Carrión (2024) indicó que la ruptura estructural de las series de tiempo delictivas en Ecuador coincidió con los estados de excepción y la declaratoria de conflicto armado, sugiriendo un crecimiento tendencial más que estacional.</w:t>
      </w:r>
    </w:p>
    <w:p w14:paraId="089E6245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18" w:name="_Toc220977966"/>
      <w:bookmarkStart w:id="19" w:name="cifra-negra"/>
      <w:bookmarkEnd w:id="17"/>
      <w:r w:rsidRPr="00394928">
        <w:rPr>
          <w:rFonts w:ascii="Times New Roman" w:hAnsi="Times New Roman" w:cs="Times New Roman"/>
        </w:rPr>
        <w:t>Cifra Negra</w:t>
      </w:r>
      <w:bookmarkEnd w:id="18"/>
    </w:p>
    <w:p w14:paraId="3F2CAE35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Concepto crítico que representó los delitos no denunciados. La UNODC (2023) estimó que la </w:t>
      </w:r>
      <w:proofErr w:type="spellStart"/>
      <w:r w:rsidRPr="00394928">
        <w:rPr>
          <w:rFonts w:ascii="Times New Roman" w:hAnsi="Times New Roman" w:cs="Times New Roman"/>
        </w:rPr>
        <w:t>subnotificación</w:t>
      </w:r>
      <w:proofErr w:type="spellEnd"/>
      <w:r w:rsidRPr="00394928">
        <w:rPr>
          <w:rFonts w:ascii="Times New Roman" w:hAnsi="Times New Roman" w:cs="Times New Roman"/>
        </w:rPr>
        <w:t xml:space="preserve"> en casos de extorsión podía superar el 80% debido al temor a represalias, lo cual se consideró como un sesgo inherente al análisis de fuentes oficiales.</w:t>
      </w:r>
    </w:p>
    <w:p w14:paraId="3024097C" w14:textId="77777777" w:rsidR="0004328A" w:rsidRPr="00394928" w:rsidRDefault="0004328A" w:rsidP="0004328A">
      <w:pPr>
        <w:pStyle w:val="Ttulo2"/>
        <w:rPr>
          <w:rFonts w:ascii="Times New Roman" w:hAnsi="Times New Roman" w:cs="Times New Roman"/>
        </w:rPr>
      </w:pPr>
      <w:bookmarkStart w:id="20" w:name="_Toc220977967"/>
      <w:bookmarkStart w:id="21" w:name="marco-legal"/>
      <w:bookmarkEnd w:id="11"/>
      <w:bookmarkEnd w:id="19"/>
      <w:r w:rsidRPr="00394928">
        <w:rPr>
          <w:rFonts w:ascii="Times New Roman" w:hAnsi="Times New Roman" w:cs="Times New Roman"/>
        </w:rPr>
        <w:t>2.3 Marco Legal</w:t>
      </w:r>
      <w:bookmarkEnd w:id="20"/>
    </w:p>
    <w:p w14:paraId="718CB8E7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La investigación se encaminó en la normativa vigente del Ecuador y sus reformas ante la crisis de seguridad:</w:t>
      </w:r>
    </w:p>
    <w:p w14:paraId="3E9E7479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22" w:name="_Toc220977968"/>
      <w:bookmarkStart w:id="23" w:name="constitución-de-la-república-2008"/>
      <w:r w:rsidRPr="00394928">
        <w:rPr>
          <w:rFonts w:ascii="Times New Roman" w:hAnsi="Times New Roman" w:cs="Times New Roman"/>
        </w:rPr>
        <w:t>Constitución de la República (2008):</w:t>
      </w:r>
      <w:bookmarkEnd w:id="22"/>
    </w:p>
    <w:p w14:paraId="5FE717DA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Se consideraron los arts. 3 y 66 sobre el derecho a la seguridad integral.</w:t>
      </w:r>
    </w:p>
    <w:p w14:paraId="3F8AF47D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24" w:name="_Toc220977969"/>
      <w:bookmarkStart w:id="25" w:name="código-orgánico-integral-penal-coip"/>
      <w:bookmarkEnd w:id="23"/>
      <w:r w:rsidRPr="00394928">
        <w:rPr>
          <w:rFonts w:ascii="Times New Roman" w:hAnsi="Times New Roman" w:cs="Times New Roman"/>
        </w:rPr>
        <w:t>Código Orgánico Integral Penal (COIP):</w:t>
      </w:r>
      <w:bookmarkEnd w:id="24"/>
    </w:p>
    <w:p w14:paraId="50D247A2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Se analizó el Art. 185 (Extorsión), destacando las reformas de 2022-2023 que agravaron las penas para delitos cometidos por delincuencia organizada.</w:t>
      </w:r>
    </w:p>
    <w:p w14:paraId="2E130518" w14:textId="77777777" w:rsidR="0004328A" w:rsidRPr="00394928" w:rsidRDefault="0004328A" w:rsidP="0004328A">
      <w:pPr>
        <w:pStyle w:val="Ttulo3"/>
        <w:rPr>
          <w:rFonts w:ascii="Times New Roman" w:hAnsi="Times New Roman" w:cs="Times New Roman"/>
        </w:rPr>
      </w:pPr>
      <w:bookmarkStart w:id="26" w:name="_Toc220977970"/>
      <w:bookmarkStart w:id="27" w:name="decretos-ejecutivos"/>
      <w:bookmarkEnd w:id="25"/>
      <w:r w:rsidRPr="00394928">
        <w:rPr>
          <w:rFonts w:ascii="Times New Roman" w:hAnsi="Times New Roman" w:cs="Times New Roman"/>
        </w:rPr>
        <w:t>Decretos Ejecutivos:</w:t>
      </w:r>
      <w:bookmarkEnd w:id="26"/>
    </w:p>
    <w:p w14:paraId="2AB72B22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Se tomó en cuenta el Decreto Ejecutivo No. 111 (2024), citado por Ecuador (2024), el cual reclasificó a las bandas extorsionadoras como “objetivos militares”.</w:t>
      </w:r>
    </w:p>
    <w:bookmarkEnd w:id="1"/>
    <w:bookmarkEnd w:id="21"/>
    <w:bookmarkEnd w:id="27"/>
    <w:p w14:paraId="4FFE80C8" w14:textId="77777777" w:rsidR="0004328A" w:rsidRDefault="0004328A" w:rsidP="0004328A">
      <w:pPr>
        <w:pStyle w:val="Ttulo1"/>
      </w:pPr>
    </w:p>
    <w:p w14:paraId="719F52CB" w14:textId="77777777" w:rsidR="0004328A" w:rsidRDefault="0004328A" w:rsidP="0004328A"/>
    <w:p w14:paraId="0838234C" w14:textId="77777777" w:rsidR="0004328A" w:rsidRDefault="0004328A" w:rsidP="0004328A"/>
    <w:p w14:paraId="6CAEBD4C" w14:textId="77777777" w:rsidR="0004328A" w:rsidRDefault="0004328A" w:rsidP="0004328A"/>
    <w:p w14:paraId="06A110A3" w14:textId="77777777" w:rsidR="0004328A" w:rsidRDefault="0004328A" w:rsidP="0004328A"/>
    <w:p w14:paraId="6C07F2C9" w14:textId="77777777" w:rsidR="0004328A" w:rsidRDefault="0004328A" w:rsidP="0004328A"/>
    <w:p w14:paraId="07FA045B" w14:textId="77777777" w:rsidR="0004328A" w:rsidRDefault="0004328A" w:rsidP="0004328A"/>
    <w:p w14:paraId="1D85C9F0" w14:textId="77777777" w:rsidR="0004328A" w:rsidRPr="00394928" w:rsidRDefault="0004328A" w:rsidP="0004328A">
      <w:pPr>
        <w:pStyle w:val="Ttulo1"/>
        <w:rPr>
          <w:rFonts w:ascii="Times New Roman" w:hAnsi="Times New Roman" w:cs="Times New Roman"/>
        </w:rPr>
      </w:pPr>
      <w:bookmarkStart w:id="28" w:name="_Toc220977987"/>
      <w:r w:rsidRPr="00394928">
        <w:rPr>
          <w:rFonts w:ascii="Times New Roman" w:hAnsi="Times New Roman" w:cs="Times New Roman"/>
        </w:rPr>
        <w:lastRenderedPageBreak/>
        <w:t>Referencias Bibliográficas</w:t>
      </w:r>
      <w:bookmarkEnd w:id="28"/>
    </w:p>
    <w:p w14:paraId="30A0BC7A" w14:textId="77777777" w:rsidR="0004328A" w:rsidRPr="00394928" w:rsidRDefault="0004328A" w:rsidP="0004328A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Alvarado, N., &amp; Mendieta, L. (2023). Geografía del miedo: Análisis espacial de la violencia criminal en el litoral ecuatoriano. Revista Latinoamericana de Estudios de Seguridad, 15(2), 45-68.</w:t>
      </w:r>
    </w:p>
    <w:p w14:paraId="216B6851" w14:textId="77777777" w:rsidR="0004328A" w:rsidRPr="00394928" w:rsidRDefault="0004328A" w:rsidP="0004328A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Carrión, F. (2024). El giro punitivo y la crisis de seguridad en Ecuador: Delincuencia común vs. Crimen Organizado. FLACSO Ecuador, Ediciones La Flauta Mágica.</w:t>
      </w:r>
    </w:p>
    <w:p w14:paraId="308DB6A8" w14:textId="77777777" w:rsidR="0004328A" w:rsidRPr="00394928" w:rsidRDefault="0004328A" w:rsidP="0004328A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Ecuador, Presidencia de la República. (2024). Decreto Ejecutivo No. 111: Reconocimiento del conflicto armado interno. Registro Oficial.</w:t>
      </w:r>
    </w:p>
    <w:p w14:paraId="47A50C98" w14:textId="77777777" w:rsidR="0004328A" w:rsidRPr="00394928" w:rsidRDefault="0004328A" w:rsidP="0004328A">
      <w:pPr>
        <w:pStyle w:val="Textoindependiente"/>
        <w:rPr>
          <w:rFonts w:ascii="Times New Roman" w:hAnsi="Times New Roman" w:cs="Times New Roman"/>
        </w:rPr>
      </w:pPr>
      <w:proofErr w:type="spellStart"/>
      <w:r w:rsidRPr="00394928">
        <w:rPr>
          <w:rFonts w:ascii="Times New Roman" w:hAnsi="Times New Roman" w:cs="Times New Roman"/>
        </w:rPr>
        <w:t>InSight</w:t>
      </w:r>
      <w:proofErr w:type="spellEnd"/>
      <w:r w:rsidRPr="00394928">
        <w:rPr>
          <w:rFonts w:ascii="Times New Roman" w:hAnsi="Times New Roman" w:cs="Times New Roman"/>
        </w:rPr>
        <w:t xml:space="preserve"> </w:t>
      </w:r>
      <w:proofErr w:type="spellStart"/>
      <w:r w:rsidRPr="00394928">
        <w:rPr>
          <w:rFonts w:ascii="Times New Roman" w:hAnsi="Times New Roman" w:cs="Times New Roman"/>
        </w:rPr>
        <w:t>Crime</w:t>
      </w:r>
      <w:proofErr w:type="spellEnd"/>
      <w:r w:rsidRPr="00394928">
        <w:rPr>
          <w:rFonts w:ascii="Times New Roman" w:hAnsi="Times New Roman" w:cs="Times New Roman"/>
        </w:rPr>
        <w:t xml:space="preserve">. (2022). Balance de </w:t>
      </w:r>
      <w:proofErr w:type="spellStart"/>
      <w:r w:rsidRPr="00394928">
        <w:rPr>
          <w:rFonts w:ascii="Times New Roman" w:hAnsi="Times New Roman" w:cs="Times New Roman"/>
        </w:rPr>
        <w:t>InSight</w:t>
      </w:r>
      <w:proofErr w:type="spellEnd"/>
      <w:r w:rsidRPr="00394928">
        <w:rPr>
          <w:rFonts w:ascii="Times New Roman" w:hAnsi="Times New Roman" w:cs="Times New Roman"/>
        </w:rPr>
        <w:t xml:space="preserve"> </w:t>
      </w:r>
      <w:proofErr w:type="spellStart"/>
      <w:r w:rsidRPr="00394928">
        <w:rPr>
          <w:rFonts w:ascii="Times New Roman" w:hAnsi="Times New Roman" w:cs="Times New Roman"/>
        </w:rPr>
        <w:t>Crime</w:t>
      </w:r>
      <w:proofErr w:type="spellEnd"/>
      <w:r w:rsidRPr="00394928">
        <w:rPr>
          <w:rFonts w:ascii="Times New Roman" w:hAnsi="Times New Roman" w:cs="Times New Roman"/>
        </w:rPr>
        <w:t xml:space="preserve"> sobre los homicidios y la extorsión en América Latina 2022. Recuperado de </w:t>
      </w:r>
      <w:hyperlink r:id="rId7">
        <w:r w:rsidRPr="00394928">
          <w:rPr>
            <w:rStyle w:val="Hipervnculo"/>
            <w:rFonts w:ascii="Times New Roman" w:hAnsi="Times New Roman" w:cs="Times New Roman"/>
          </w:rPr>
          <w:t>https://es.insightcrime.org</w:t>
        </w:r>
      </w:hyperlink>
      <w:r w:rsidRPr="00394928">
        <w:rPr>
          <w:rFonts w:ascii="Times New Roman" w:hAnsi="Times New Roman" w:cs="Times New Roman"/>
        </w:rPr>
        <w:t>.</w:t>
      </w:r>
    </w:p>
    <w:p w14:paraId="21E0FA96" w14:textId="77777777" w:rsidR="0004328A" w:rsidRPr="00394928" w:rsidRDefault="0004328A" w:rsidP="0004328A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Jaitman, L. (2022). </w:t>
      </w:r>
      <w:proofErr w:type="spellStart"/>
      <w:r w:rsidRPr="00394928">
        <w:rPr>
          <w:rFonts w:ascii="Times New Roman" w:hAnsi="Times New Roman" w:cs="Times New Roman"/>
        </w:rPr>
        <w:t>Crime</w:t>
      </w:r>
      <w:proofErr w:type="spellEnd"/>
      <w:r w:rsidRPr="00394928">
        <w:rPr>
          <w:rFonts w:ascii="Times New Roman" w:hAnsi="Times New Roman" w:cs="Times New Roman"/>
        </w:rPr>
        <w:t xml:space="preserve"> and </w:t>
      </w:r>
      <w:proofErr w:type="spellStart"/>
      <w:r w:rsidRPr="00394928">
        <w:rPr>
          <w:rFonts w:ascii="Times New Roman" w:hAnsi="Times New Roman" w:cs="Times New Roman"/>
        </w:rPr>
        <w:t>Violence</w:t>
      </w:r>
      <w:proofErr w:type="spellEnd"/>
      <w:r w:rsidRPr="00394928">
        <w:rPr>
          <w:rFonts w:ascii="Times New Roman" w:hAnsi="Times New Roman" w:cs="Times New Roman"/>
        </w:rPr>
        <w:t xml:space="preserve"> in </w:t>
      </w:r>
      <w:proofErr w:type="spellStart"/>
      <w:r w:rsidRPr="00394928">
        <w:rPr>
          <w:rFonts w:ascii="Times New Roman" w:hAnsi="Times New Roman" w:cs="Times New Roman"/>
        </w:rPr>
        <w:t>Latin</w:t>
      </w:r>
      <w:proofErr w:type="spellEnd"/>
      <w:r w:rsidRPr="00394928">
        <w:rPr>
          <w:rFonts w:ascii="Times New Roman" w:hAnsi="Times New Roman" w:cs="Times New Roman"/>
        </w:rPr>
        <w:t xml:space="preserve"> America and </w:t>
      </w:r>
      <w:proofErr w:type="spellStart"/>
      <w:r w:rsidRPr="00394928">
        <w:rPr>
          <w:rFonts w:ascii="Times New Roman" w:hAnsi="Times New Roman" w:cs="Times New Roman"/>
        </w:rPr>
        <w:t>the</w:t>
      </w:r>
      <w:proofErr w:type="spellEnd"/>
      <w:r w:rsidRPr="00394928">
        <w:rPr>
          <w:rFonts w:ascii="Times New Roman" w:hAnsi="Times New Roman" w:cs="Times New Roman"/>
        </w:rPr>
        <w:t xml:space="preserve"> Caribbean: The </w:t>
      </w:r>
      <w:proofErr w:type="spellStart"/>
      <w:r w:rsidRPr="00394928">
        <w:rPr>
          <w:rFonts w:ascii="Times New Roman" w:hAnsi="Times New Roman" w:cs="Times New Roman"/>
        </w:rPr>
        <w:t>Evolving</w:t>
      </w:r>
      <w:proofErr w:type="spellEnd"/>
      <w:r w:rsidRPr="00394928">
        <w:rPr>
          <w:rFonts w:ascii="Times New Roman" w:hAnsi="Times New Roman" w:cs="Times New Roman"/>
        </w:rPr>
        <w:t xml:space="preserve"> </w:t>
      </w:r>
      <w:proofErr w:type="spellStart"/>
      <w:r w:rsidRPr="00394928">
        <w:rPr>
          <w:rFonts w:ascii="Times New Roman" w:hAnsi="Times New Roman" w:cs="Times New Roman"/>
        </w:rPr>
        <w:t>Landscape</w:t>
      </w:r>
      <w:proofErr w:type="spellEnd"/>
      <w:r w:rsidRPr="00394928">
        <w:rPr>
          <w:rFonts w:ascii="Times New Roman" w:hAnsi="Times New Roman" w:cs="Times New Roman"/>
        </w:rPr>
        <w:t xml:space="preserve">. </w:t>
      </w:r>
      <w:proofErr w:type="spellStart"/>
      <w:r w:rsidRPr="00394928">
        <w:rPr>
          <w:rFonts w:ascii="Times New Roman" w:hAnsi="Times New Roman" w:cs="Times New Roman"/>
        </w:rPr>
        <w:t>Annual</w:t>
      </w:r>
      <w:proofErr w:type="spellEnd"/>
      <w:r w:rsidRPr="00394928">
        <w:rPr>
          <w:rFonts w:ascii="Times New Roman" w:hAnsi="Times New Roman" w:cs="Times New Roman"/>
        </w:rPr>
        <w:t xml:space="preserve"> </w:t>
      </w:r>
      <w:proofErr w:type="spellStart"/>
      <w:r w:rsidRPr="00394928">
        <w:rPr>
          <w:rFonts w:ascii="Times New Roman" w:hAnsi="Times New Roman" w:cs="Times New Roman"/>
        </w:rPr>
        <w:t>Review</w:t>
      </w:r>
      <w:proofErr w:type="spellEnd"/>
      <w:r w:rsidRPr="00394928">
        <w:rPr>
          <w:rFonts w:ascii="Times New Roman" w:hAnsi="Times New Roman" w:cs="Times New Roman"/>
        </w:rPr>
        <w:t xml:space="preserve"> </w:t>
      </w:r>
      <w:proofErr w:type="spellStart"/>
      <w:r w:rsidRPr="00394928">
        <w:rPr>
          <w:rFonts w:ascii="Times New Roman" w:hAnsi="Times New Roman" w:cs="Times New Roman"/>
        </w:rPr>
        <w:t>of</w:t>
      </w:r>
      <w:proofErr w:type="spellEnd"/>
      <w:r w:rsidRPr="00394928">
        <w:rPr>
          <w:rFonts w:ascii="Times New Roman" w:hAnsi="Times New Roman" w:cs="Times New Roman"/>
        </w:rPr>
        <w:t xml:space="preserve"> </w:t>
      </w:r>
      <w:proofErr w:type="spellStart"/>
      <w:r w:rsidRPr="00394928">
        <w:rPr>
          <w:rFonts w:ascii="Times New Roman" w:hAnsi="Times New Roman" w:cs="Times New Roman"/>
        </w:rPr>
        <w:t>Criminology</w:t>
      </w:r>
      <w:proofErr w:type="spellEnd"/>
      <w:r w:rsidRPr="00394928">
        <w:rPr>
          <w:rFonts w:ascii="Times New Roman" w:hAnsi="Times New Roman" w:cs="Times New Roman"/>
        </w:rPr>
        <w:t>, 5, 259-282.</w:t>
      </w:r>
    </w:p>
    <w:p w14:paraId="4EFA1E63" w14:textId="77777777" w:rsidR="0004328A" w:rsidRPr="00394928" w:rsidRDefault="0004328A" w:rsidP="0004328A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Observatorio Ecuatoriano de Crimen Organizado (OECO). (2023). Informe semestral: La evolución de la extorsión en Ecuador. Pan American </w:t>
      </w:r>
      <w:proofErr w:type="spellStart"/>
      <w:r w:rsidRPr="00394928">
        <w:rPr>
          <w:rFonts w:ascii="Times New Roman" w:hAnsi="Times New Roman" w:cs="Times New Roman"/>
        </w:rPr>
        <w:t>Development</w:t>
      </w:r>
      <w:proofErr w:type="spellEnd"/>
      <w:r w:rsidRPr="00394928">
        <w:rPr>
          <w:rFonts w:ascii="Times New Roman" w:hAnsi="Times New Roman" w:cs="Times New Roman"/>
        </w:rPr>
        <w:t xml:space="preserve"> </w:t>
      </w:r>
      <w:proofErr w:type="spellStart"/>
      <w:r w:rsidRPr="00394928">
        <w:rPr>
          <w:rFonts w:ascii="Times New Roman" w:hAnsi="Times New Roman" w:cs="Times New Roman"/>
        </w:rPr>
        <w:t>Foundation</w:t>
      </w:r>
      <w:proofErr w:type="spellEnd"/>
      <w:r w:rsidRPr="00394928">
        <w:rPr>
          <w:rFonts w:ascii="Times New Roman" w:hAnsi="Times New Roman" w:cs="Times New Roman"/>
        </w:rPr>
        <w:t>.</w:t>
      </w:r>
    </w:p>
    <w:p w14:paraId="6C6CAA42" w14:textId="77777777" w:rsidR="0004328A" w:rsidRPr="00394928" w:rsidRDefault="0004328A" w:rsidP="0004328A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Rivera, R. (2024). Las nuevas lógicas del crimen organizado en Ecuador: Fragmentación y gobernanza criminal. Estado &amp; Comunes, 18(1), 113-132.</w:t>
      </w:r>
    </w:p>
    <w:p w14:paraId="1FCC8E34" w14:textId="77777777" w:rsidR="0004328A" w:rsidRPr="00394928" w:rsidRDefault="0004328A" w:rsidP="0004328A">
      <w:pPr>
        <w:pStyle w:val="Textoindependiente"/>
        <w:rPr>
          <w:rFonts w:ascii="Times New Roman" w:hAnsi="Times New Roman" w:cs="Times New Roman"/>
        </w:rPr>
      </w:pPr>
      <w:proofErr w:type="spellStart"/>
      <w:r w:rsidRPr="00394928">
        <w:rPr>
          <w:rFonts w:ascii="Times New Roman" w:hAnsi="Times New Roman" w:cs="Times New Roman"/>
        </w:rPr>
        <w:t>Sampó</w:t>
      </w:r>
      <w:proofErr w:type="spellEnd"/>
      <w:r w:rsidRPr="00394928">
        <w:rPr>
          <w:rFonts w:ascii="Times New Roman" w:hAnsi="Times New Roman" w:cs="Times New Roman"/>
        </w:rPr>
        <w:t>, C. (2023). El narcotráfico y su diversificación en Sudamérica: El caso de la extorsión en puertos. Revista de Relaciones Internacionales, Estrategia y Seguridad, 18(1), 23-40.</w:t>
      </w:r>
    </w:p>
    <w:p w14:paraId="05782DD9" w14:textId="77777777" w:rsidR="0004328A" w:rsidRPr="00394928" w:rsidRDefault="0004328A" w:rsidP="0004328A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UNODC. (2023). Estudio mundial sobre el homicidio 2023: Dinámicas de la violencia letal y actividades extorsivas. Viena: UNODC.</w:t>
      </w:r>
    </w:p>
    <w:p w14:paraId="6E837FD9" w14:textId="77777777" w:rsidR="0004328A" w:rsidRPr="00D8174B" w:rsidRDefault="0004328A" w:rsidP="0004328A"/>
    <w:p w14:paraId="34C3E60F" w14:textId="77777777" w:rsidR="00000442" w:rsidRDefault="00000442"/>
    <w:sectPr w:rsidR="000004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0F0E6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6C842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4DD6581"/>
    <w:multiLevelType w:val="multilevel"/>
    <w:tmpl w:val="C67A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258BC"/>
    <w:multiLevelType w:val="multilevel"/>
    <w:tmpl w:val="D1F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76852">
    <w:abstractNumId w:val="3"/>
  </w:num>
  <w:num w:numId="2" w16cid:durableId="162283386">
    <w:abstractNumId w:val="2"/>
  </w:num>
  <w:num w:numId="3" w16cid:durableId="822509521">
    <w:abstractNumId w:val="0"/>
  </w:num>
  <w:num w:numId="4" w16cid:durableId="1207058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8A"/>
    <w:rsid w:val="00000442"/>
    <w:rsid w:val="0004328A"/>
    <w:rsid w:val="001748B6"/>
    <w:rsid w:val="002E5E89"/>
    <w:rsid w:val="00316799"/>
    <w:rsid w:val="00412060"/>
    <w:rsid w:val="00740403"/>
    <w:rsid w:val="008C0390"/>
    <w:rsid w:val="00C1545E"/>
    <w:rsid w:val="00D77C85"/>
    <w:rsid w:val="00E7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E753E"/>
  <w15:chartTrackingRefBased/>
  <w15:docId w15:val="{3640E6A1-4EFF-45C0-9FDB-B7F0281C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28A"/>
    <w:pPr>
      <w:spacing w:after="20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43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D77C85"/>
    <w:pPr>
      <w:spacing w:after="80"/>
      <w:contextualSpacing/>
    </w:pPr>
    <w:rPr>
      <w:rFonts w:ascii="Bookman Old Style" w:eastAsiaTheme="majorEastAsia" w:hAnsi="Bookman Old Style" w:cstheme="majorBidi"/>
      <w:b/>
      <w:color w:val="0070C0"/>
      <w:spacing w:val="-10"/>
      <w:kern w:val="28"/>
      <w:sz w:val="28"/>
      <w:szCs w:val="56"/>
    </w:rPr>
  </w:style>
  <w:style w:type="character" w:customStyle="1" w:styleId="Estilo1Car">
    <w:name w:val="Estilo1 Car"/>
    <w:basedOn w:val="Fuentedeprrafopredeter"/>
    <w:link w:val="Estilo1"/>
    <w:rsid w:val="00D77C85"/>
    <w:rPr>
      <w:rFonts w:ascii="Bookman Old Style" w:eastAsiaTheme="majorEastAsia" w:hAnsi="Bookman Old Style" w:cstheme="majorBidi"/>
      <w:b/>
      <w:color w:val="0070C0"/>
      <w:spacing w:val="-10"/>
      <w:kern w:val="28"/>
      <w:sz w:val="28"/>
      <w:szCs w:val="56"/>
      <w:lang w:val="en-US"/>
    </w:rPr>
  </w:style>
  <w:style w:type="paragraph" w:customStyle="1" w:styleId="Estilo2">
    <w:name w:val="Estilo2"/>
    <w:basedOn w:val="Subttulo"/>
    <w:link w:val="Estilo2Car"/>
    <w:qFormat/>
    <w:rsid w:val="00D77C85"/>
    <w:pPr>
      <w:spacing w:line="278" w:lineRule="auto"/>
    </w:pPr>
    <w:rPr>
      <w:rFonts w:ascii="Arial" w:hAnsi="Arial"/>
    </w:rPr>
  </w:style>
  <w:style w:type="character" w:customStyle="1" w:styleId="Estilo2Car">
    <w:name w:val="Estilo2 Car"/>
    <w:basedOn w:val="SubttuloCar"/>
    <w:link w:val="Estilo2"/>
    <w:rsid w:val="00D77C85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en-US"/>
    </w:rPr>
  </w:style>
  <w:style w:type="paragraph" w:customStyle="1" w:styleId="Titulopersonalizado">
    <w:name w:val="Titulo personalizado"/>
    <w:basedOn w:val="Ttulo"/>
    <w:link w:val="TitulopersonalizadoCar"/>
    <w:qFormat/>
    <w:rsid w:val="00D77C85"/>
    <w:rPr>
      <w:rFonts w:ascii="Bookman Old Style" w:hAnsi="Bookman Old Style"/>
      <w:color w:val="0070C0"/>
      <w:sz w:val="28"/>
    </w:rPr>
  </w:style>
  <w:style w:type="character" w:customStyle="1" w:styleId="TitulopersonalizadoCar">
    <w:name w:val="Titulo personalizado Car"/>
    <w:basedOn w:val="TtuloCar"/>
    <w:link w:val="Titulopersonalizado"/>
    <w:rsid w:val="00D77C85"/>
    <w:rPr>
      <w:rFonts w:ascii="Bookman Old Style" w:eastAsiaTheme="majorEastAsia" w:hAnsi="Bookman Old Style" w:cstheme="majorBidi"/>
      <w:color w:val="0070C0"/>
      <w:spacing w:val="-10"/>
      <w:kern w:val="28"/>
      <w:sz w:val="28"/>
      <w:szCs w:val="56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77C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C8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C8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0432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2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2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28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28A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2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28A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2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28A"/>
    <w:rPr>
      <w:rFonts w:eastAsiaTheme="majorEastAsia" w:cstheme="majorBidi"/>
      <w:color w:val="272727" w:themeColor="text1" w:themeTint="D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043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28A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043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28A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0432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32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328A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qFormat/>
    <w:rsid w:val="0004328A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rsid w:val="0004328A"/>
    <w:rPr>
      <w:kern w:val="0"/>
      <w:sz w:val="24"/>
      <w:szCs w:val="24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043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.insightcrim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800</Words>
  <Characters>4825</Characters>
  <Application>Microsoft Office Word</Application>
  <DocSecurity>0</DocSecurity>
  <Lines>113</Lines>
  <Paragraphs>57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Ignacio Villena Mejia</dc:creator>
  <cp:keywords/>
  <dc:description/>
  <cp:lastModifiedBy>Moises Ignacio Villena Mejia</cp:lastModifiedBy>
  <cp:revision>4</cp:revision>
  <dcterms:created xsi:type="dcterms:W3CDTF">2026-02-03T07:31:00Z</dcterms:created>
  <dcterms:modified xsi:type="dcterms:W3CDTF">2026-02-05T23:47:00Z</dcterms:modified>
</cp:coreProperties>
</file>