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  <w:b w:val="0"/>
          <w:bCs w:val="0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0"/>
          <w:bCs w:val="0"/>
          <w:rtl w:val="0"/>
        </w:rPr>
        <w:t xml:space="preserve">Why this work exists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This brief explains </w:t>
      </w: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what problem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the SPP3 work is solving, </w:t>
      </w: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what we propose to ship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, and </w:t>
      </w: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why ENS DAO benefits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Pair this with the </w:t>
      </w:r>
      <w:hyperlink r:id="rId6">
        <w:r w:rsidDel="00000000" w:rsidR="00000000" w:rsidRPr="00000000">
          <w:rPr>
            <w:rFonts w:ascii="IBM Plex Sans Arabic" w:cs="IBM Plex Sans Arabic" w:eastAsia="IBM Plex Sans Arabic" w:hAnsi="IBM Plex Sans Arabic"/>
            <w:color w:val="0000ee"/>
            <w:u w:val="single"/>
            <w:rtl w:val="0"/>
          </w:rPr>
          <w:t xml:space="preserve">SPP3 Spec Brief</w:t>
        </w:r>
      </w:hyperlink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(orientation to the spec artifacts themselves) and the </w:t>
      </w:r>
      <w:hyperlink r:id="rId7">
        <w:r w:rsidDel="00000000" w:rsidR="00000000" w:rsidRPr="00000000">
          <w:rPr>
            <w:rFonts w:ascii="IBM Plex Sans Arabic" w:cs="IBM Plex Sans Arabic" w:eastAsia="IBM Plex Sans Arabic" w:hAnsi="IBM Plex Sans Arabic"/>
            <w:color w:val="0000ee"/>
            <w:u w:val="single"/>
            <w:rtl w:val="0"/>
          </w:rPr>
          <w:t xml:space="preserve">Published Spec — v1.0-draft.02</w:t>
        </w:r>
      </w:hyperlink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(the normative content).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BM Plex Sans Arabic" w:cs="IBM Plex Sans Arabic" w:eastAsia="IBM Plex Sans Arabic" w:hAnsi="IBM Plex Sans Arabic"/>
          <w:b w:val="0"/>
          <w:bCs w:val="0"/>
          <w:rtl w:val="0"/>
        </w:rPr>
        <w:t xml:space="preserve">TL;DR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AI agents are increasingly the actors taking actions across apps, APIs, and hosted runtimes — but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no outside service can verify, in real time, that an agent-signed action came from a credential the operator currently authorizes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 Authorization lives in vendor-specific systems. There's no shared substrate for rotation, revocation, or audit.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ENS already provides the naming, discovery, and registry primitives (ENSIP-25, ENSIP-26, ENSIP-64, ERC-8004). What it doesn't yet have, on top of those primitives, is an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ENS-keyed authority-policy lookup layer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: a resolver-level surface that lets any service confirm a signed action came from a currently-authorized credential under an ENS name, and that the credential hasn't been rotated, expired, or revoked.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This SPP3 work fills that gap.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wedge is MARPs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(Managed Agent Runtime Platforms) — Bankr Agents, Pinata Agents, Virtuals Protocol, Microsoft Entra Agent ID, ZeroDev/Kernel-backed runtimes. MARPs are where most agents will run in practice; integrating the AuthResolver at a MARP's subname-issuance layer means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every signup becomes a verifiable ENS-named agent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at deployment time.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One operator-archetype MARP at production scale = 10⁴+ ENS subnames on initial integration, ramping toward 10⁵+ within 12 months.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BM Plex Sans Arabic" w:cs="IBM Plex Sans Arabic" w:eastAsia="IBM Plex Sans Arabic" w:hAnsi="IBM Plex Sans Arabic"/>
          <w:b w:val="0"/>
          <w:bCs w:val="0"/>
          <w:rtl w:val="0"/>
        </w:rPr>
        <w:t xml:space="preserve">The problem (concretely)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 new operator class is emerging: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MARPs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— hosted runtimes that operate AI agents' lifecycles (secrets, scheduling, policy, durability). Pilots are moving to governed production. Vendors are iterating fast.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What MARPs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do not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standardize is a portable authorization layer counterparties can verify independently. A relying party — another contract, a backend, a wallet, a payment service — receiving a signed action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from an agent has no shared way to ask: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rFonts w:ascii="IBM Plex Sans Arabic" w:cs="IBM Plex Sans Arabic" w:eastAsia="IBM Plex Sans Arabic" w:hAnsi="IBM Plex Sans Arabic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i w:val="1"/>
          <w:iCs w:val="1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Is this signature actually valid?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i w:val="1"/>
          <w:iCs w:val="1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Does the credential it was signed with currently belong to the agent?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i w:val="1"/>
          <w:iCs w:val="1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Has that credential been rotated, revoked, or expired?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i w:val="1"/>
          <w:iCs w:val="1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Who can rotate or revoke it, and how does that change propagate?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Each MARP today answers those questions in its own vendor-internal way. Counterparties either trust the platform's database or trust the signature blindly. Neither scales across MARPs.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This is distinct from the things people sometimes think solve it: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Wire-protocol auth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(MCP, A2A) answers "did the client present valid credentials </w:t>
      </w: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at this connection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?" — not "are these the credentials the agent's operator currently authorizes."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On-chain delegation execution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(ERC-4337 session keys) executes scoped permissions onchain — but doesn't tell a relying party </w:t>
      </w: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which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keys and capabilities are currently the ENS-name's authorized ones.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Capability tokens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(UCAN, CACAO) prove a delegation existed at signing time, verified offline — they don't reflect current authorization state.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lookup layer is the gap. Lookup is what this proposal delivers.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BM Plex Sans Arabic" w:cs="IBM Plex Sans Arabic" w:eastAsia="IBM Plex Sans Arabic" w:hAnsi="IBM Plex Sans Arabic"/>
          <w:b w:val="0"/>
          <w:bCs w:val="0"/>
          <w:rtl w:val="0"/>
        </w:rPr>
        <w:t xml:space="preserve">Why ENS is the right surface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ENS already has the pieces above and around the gap: ENSIP-25 binds an ENS name to an ERC-8004 agent identity; ENSIP-26 publishes the agent's services and endpoints; ENSIP-64 carries typed records; ERC-8004 holds the agent registry. What's missing is the authority-policy layer that ties any of them to </w:t>
      </w: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current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authority on the same ENS surface.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ENSv2's substrate is ready for that work </w:t>
      </w: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today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: per-name resolver instances, EnhancedAccessControl for per-(node, recordKey) write delegation, IDataResolver for binary-safe records, VerifiableFactory for deterministic per-name proxy deployment. These are exactly the primitives the AuthResolver composes into a verification orchestration layer.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No new core protocol changes.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Schema and orchestration work on top of existing primitives — the same extension pattern ENSIP-24, ENSIP-25, and ENSIP-26 use.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timing window is real. EIP-7951 (P-256 precompile) shipped in Fusaka 3 Dec 2025; ENSIP-25 has merged; ERC-8004 reached mainnet Jan 2026. Microsoft Entra Agent ID is in preview as a dedicated vendor identity-and-authorization framework.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next 12 months are when ENS can establish a practical cross-vendor verification pattern for MARPs, rather than retrofit one after vendor stacks lock in.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BM Plex Sans Arabic" w:cs="IBM Plex Sans Arabic" w:eastAsia="IBM Plex Sans Arabic" w:hAnsi="IBM Plex Sans Arabic"/>
          <w:b w:val="0"/>
          <w:bCs w:val="0"/>
          <w:rtl w:val="0"/>
        </w:rPr>
        <w:t xml:space="preserve">What we ship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 toolkit, delivered across four milestones over 12 months. The full normative surface is in the </w:t>
      </w:r>
      <w:hyperlink r:id="rId8">
        <w:r w:rsidDel="00000000" w:rsidR="00000000" w:rsidRPr="00000000">
          <w:rPr>
            <w:rFonts w:ascii="IBM Plex Sans Arabic" w:cs="IBM Plex Sans Arabic" w:eastAsia="IBM Plex Sans Arabic" w:hAnsi="IBM Plex Sans Arabic"/>
            <w:color w:val="0000ee"/>
            <w:u w:val="single"/>
            <w:rtl w:val="0"/>
          </w:rPr>
          <w:t xml:space="preserve">spec</w:t>
        </w:r>
      </w:hyperlink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; the headline shape: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Two onchain contracts: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a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Verifier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(one shared per chain; three signature schemes — WebAuthn-ES256, ECDSA-secp256k1, EIP-1271) and an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AuthResolverImpl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(per-name UUPS proxies via VerifiableFactory, holding credential / capability / revocation records).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 TypeScript SDK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that resolves ENS-published authorization state and verifies signed requests against current state.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 conformance suite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with reproducible test vectors for verifier behavior.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Integration guides + three Wave-1 pilot integrations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with hands-on engineering support.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 third-party security audit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of the Verifier and AuthResolver.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An integrator using this can verify a signed request against current ENS state, enforce expiry/rotation/revocation, and get normalized allow/deny reason codes — without taking a dependency on any particular MARP's vendor-internal identity model.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What this is NOT: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a wallet, a consumer-onboarding flow, a generalized agent platform, schema-ization of ENSIP-26 records, or a competitor to capability-token systems. Focused infrastructure service. ENS Infrastructure objective category, with Outreach + Integrations secondary.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BM Plex Sans Arabic" w:cs="IBM Plex Sans Arabic" w:eastAsia="IBM Plex Sans Arabic" w:hAnsi="IBM Plex Sans Arabic"/>
          <w:b w:val="0"/>
          <w:bCs w:val="0"/>
          <w:rtl w:val="0"/>
        </w:rPr>
        <w:t xml:space="preserve">How SPP3 maps to it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$350,000 over 12 months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(July 2026 – July 2027). Four milestones: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M1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— Onchain Verifier + AuthResolverImpl deployed to ENSv2 (testnet first; mainnet contingent on ENSv2 mainnet timing)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M2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— TypeScript SDK + conformance suite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M3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— Three Wave-1 pilot integrations (production-like deployments) + third-party security audit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M4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— Integration pattern docs published; ENSIP draft submitted; v1.0-final spec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Operational success metrics: revocation propagation latency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&lt;60s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, replay rejection rate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≥99.9%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, policy-deny correctness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100%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, developer onboarding time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&lt;1 day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to a working basic-verification flow.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BM Plex Sans Arabic" w:cs="IBM Plex Sans Arabic" w:eastAsia="IBM Plex Sans Arabic" w:hAnsi="IBM Plex Sans Arabic"/>
          <w:b w:val="0"/>
          <w:bCs w:val="0"/>
          <w:rtl w:val="0"/>
        </w:rPr>
        <w:t xml:space="preserve">The MARP-wedge thesis (why this matters for ENS DAO)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This is the load-bearing argument.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committed floor is three Wave-1 per-agent pilots; the structural ceiling is MARP-layer integration.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Per-agent integration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(the floor): each pilot's MARP-hosted agents register their own ENS names — test, staging, production environments each register separately; capability-publishers register one name per published service.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Per-pilot registration counts are reported in each integration report. Linear scale.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MARP-layer integration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(the ceiling, and the wedge): an operator-archetype MARP bakes AuthResolver records into its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subname-issuance flow itself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When a MARP's account-creation flow issues &lt;username&gt;.&lt;marp&gt;.eth with AuthResolver records pre-populated, the math changes: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Per-agent pilot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MARP-layer integration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Registration math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Linear with manual integration effort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Per-platform-user — every signup is a registration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~10² registrations per pilot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10⁴+ on initial integration, ramping to 10⁵+ within 12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Identity surface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Wallet + platform API key (no external naming)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Publicly resolvable named-agent identity that travels with the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Authority model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Vendor-database trust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ENS state as independent reference — cryptographic integrity replaces vendor 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Counterparty reach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Platform-specific integrations only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IBM Plex Sans Arabic" w:cs="IBM Plex Sans Arabic" w:eastAsia="IBM Plex Sans Arabic" w:hAnsi="IBM Plex Sans Arabic"/>
              </w:rPr>
            </w:pPr>
            <w:r w:rsidDel="00000000" w:rsidR="00000000" w:rsidRPr="00000000">
              <w:rPr>
                <w:rFonts w:ascii="IBM Plex Sans Arabic" w:cs="IBM Plex Sans Arabic" w:eastAsia="IBM Plex Sans Arabic" w:hAnsi="IBM Plex Sans Arabic"/>
                <w:rtl w:val="0"/>
              </w:rPr>
              <w:t xml:space="preserve">Reachable from 8+ existing ecosystems via one integration: other MARPs, MCP/A2A servers, ERC-4337 / ERC-6900 smart accounts, ERC-8004 registry consumers, UCAN/CACAO relying parties, ENS-aware wallets/dApps, EAS-style attestation networks, compliance tooling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Why this matters for ENS DAO directly: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IBM Plex Sans Arabic" w:cs="IBM Plex Sans Arabic" w:eastAsia="IBM Plex Sans Arabic" w:hAnsi="IBM Plex Sans Arab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rtl w:val="0"/>
        </w:rPr>
        <w:t xml:space="preserve">Subname issuance volume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Each MARP integration converts platform user signups into ENS subname registrations. A single operator-archetype MARP at production scale generates 10⁴+ subname registrations at integration go-live, ramping toward 10⁵+ over the subsequent 12 months —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two to three orders of magnitude beyond the per-agent floor.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rtl w:val="0"/>
        </w:rPr>
        <w:t xml:space="preserve">Renewal incentive baked in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Any production agent whose ENS-bound credentials are in active use has direct operational incentive to renew the name, because revocation/rotation flow through the AuthResolver attached to that name. ENS names become operationally load-bearing for the agent, not decorative.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rtl w:val="0"/>
        </w:rPr>
        <w:t xml:space="preserve">First-mover dynamics.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Once one MARP integrates, subsequent MARPs copy the pattern rather than design one. Compatibility with the first integrated MARP becomes a competitive feature. This is why a single MARP integration matters more than the sum of three per-agent pilots — the structure compounds.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rtl w:val="0"/>
        </w:rPr>
        <w:t xml:space="preserve">Day-zero technical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compatibility confirmed.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Bankr Agents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has been verified end-to-end as compatible with the v1 Verifier: their /agent/sign endpoint produces secp256k1 ECDSA (verifiable via ecrecover); their wallets use EIP-7702 + EIP-1271 with the ZeroDev Kernel implementation (verifiable via EIP-1271 staticcall). Both schemes are in v1 scope.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Technical-fit question closed.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Only remaining variable is platform-side commitment.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honest framing: Bankr engagement is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pre-commitment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, not contracted. Neither the milestone structure nor the Wave-1 pilot floor depends on Bankr's adoption. Per-agent pilots are committed; MARP-layer integration is the structurally enabled outcome the toolkit is built to convert.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BM Plex Sans Arabic" w:cs="IBM Plex Sans Arabic" w:eastAsia="IBM Plex Sans Arabic" w:hAnsi="IBM Plex Sans Arabic"/>
          <w:b w:val="0"/>
          <w:bCs w:val="0"/>
          <w:rtl w:val="0"/>
        </w:rPr>
        <w:t xml:space="preserve">What success looks like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In-cycle, by M4 (July 2027):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Two contracts shipped, audited, and deployed on ENSv2 mainnet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SDK + conformance suite public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Three Wave-1 pilot integrations live in production-like environments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≥1 operator-archetype MARP integrated at the subname-issuance layer with a public integration report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10⁴+ ENS subnames issued via the AuthResolver pattern at integrated MARP(s)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ENSIP draft submitted for the authority-policy lookup layer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Trajectory (cycle close + 12 months forward):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IBM Plex Sans Arabic" w:cs="IBM Plex Sans Arabic" w:eastAsia="IBM Plex Sans Arabic" w:hAnsi="IBM Plex Sans Arabic"/>
          <w:u w:val="none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10⁵+ ENS subnames at integrated MARP(s) within 12 months of integration go-live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counterfactual to SPP3 funding is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not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"no work happens." The framework and the spec are already public. The counterfactual is </w:t>
      </w:r>
      <w:r w:rsidDel="00000000" w:rsidR="00000000" w:rsidRPr="00000000">
        <w:rPr>
          <w:rFonts w:ascii="IBM Plex Sans Arabic" w:cs="IBM Plex Sans Arabic" w:eastAsia="IBM Plex Sans Arabic" w:hAnsi="IBM Plex Sans Arabic"/>
          <w:i w:val="1"/>
          <w:iCs w:val="1"/>
          <w:rtl w:val="0"/>
        </w:rPr>
        <w:t xml:space="preserve">"the work ships as single-runtime tooling by a single team, with no conformance surface and no public reference for other integrators, on a 24–36 month part-time arc"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— by which point vendor MAIPs (Microsoft Entra Agent ID, currently in preview) will have defined the cross-vendor verification pattern for the category, and operator-archetype MARPs that would otherwise adopt the open-MAIP pattern will have defaulted to vendor or platform-internal alternatives.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The 12-month window matters because the category is locking in now.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BM Plex Sans Arabic" w:cs="IBM Plex Sans Arabic" w:eastAsia="IBM Plex Sans Arabic" w:hAnsi="IBM Plex Sans Arabic"/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BM Plex Sans Arabic" w:cs="IBM Plex Sans Arabic" w:eastAsia="IBM Plex Sans Arabic" w:hAnsi="IBM Plex Sans Arabic"/>
          <w:b w:val="0"/>
          <w:bCs w:val="0"/>
          <w:rtl w:val="0"/>
        </w:rPr>
        <w:t xml:space="preserve">Where to read next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rFonts w:ascii="IBM Plex Sans Arabic" w:cs="IBM Plex Sans Arabic" w:eastAsia="IBM Plex Sans Arabic" w:hAnsi="IBM Plex Sans Arabic"/>
            <w:color w:val="0000ee"/>
            <w:u w:val="single"/>
            <w:rtl w:val="0"/>
          </w:rPr>
          <w:t xml:space="preserve">SPP3 Spec Brief</w:t>
        </w:r>
      </w:hyperlink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— orientation to the spec artifacts (which file is what, how to read in order, where to contribute)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rFonts w:ascii="IBM Plex Sans Arabic" w:cs="IBM Plex Sans Arabic" w:eastAsia="IBM Plex Sans Arabic" w:hAnsi="IBM Plex Sans Arabic"/>
            <w:color w:val="0000ee"/>
            <w:u w:val="single"/>
            <w:rtl w:val="0"/>
          </w:rPr>
          <w:t xml:space="preserve">Published Spec — v1.0-draft.02</w:t>
        </w:r>
      </w:hyperlink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— the normative contract surface this work delivers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application_draft.md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(in the repo) — the canonical SPP3 application body (full deliverables, milestones, budget, KPIs, governance)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BM Plex Sans Arab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L5Kj7oxT4dzlkYdYh0Sne2jx76XomT7K04P7Bu9zR-w/edit" TargetMode="External"/><Relationship Id="rId9" Type="http://schemas.openxmlformats.org/officeDocument/2006/relationships/hyperlink" Target="https://docs.google.com/document/d/1TSK9rq3eEY1fEY6zeNAFXFLUmtW6W3BAB7c9dVQiqi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SK9rq3eEY1fEY6zeNAFXFLUmtW6W3BAB7c9dVQiqi4/edit" TargetMode="External"/><Relationship Id="rId7" Type="http://schemas.openxmlformats.org/officeDocument/2006/relationships/hyperlink" Target="https://docs.google.com/document/d/1L5Kj7oxT4dzlkYdYh0Sne2jx76XomT7K04P7Bu9zR-w/edit" TargetMode="External"/><Relationship Id="rId8" Type="http://schemas.openxmlformats.org/officeDocument/2006/relationships/hyperlink" Target="https://docs.google.com/document/d/1L5Kj7oxT4dzlkYdYh0Sne2jx76XomT7K04P7Bu9zR-w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Arabic-regular.ttf"/><Relationship Id="rId2" Type="http://schemas.openxmlformats.org/officeDocument/2006/relationships/font" Target="fonts/IBMPlexSansArab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