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DBD8" w14:textId="6604FAC0" w:rsidR="0033139B" w:rsidRPr="00C3251D" w:rsidRDefault="0033139B" w:rsidP="0033139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3251D">
        <w:rPr>
          <w:rFonts w:ascii="Times New Roman" w:eastAsia="Times New Roman" w:hAnsi="Times New Roman" w:cs="Times New Roman"/>
          <w:b/>
          <w:bCs/>
          <w:kern w:val="0"/>
          <w14:ligatures w14:val="none"/>
        </w:rPr>
        <w:t xml:space="preserve">Overview of Artificial Intelligence Legislative and Regulatory Landscape </w:t>
      </w:r>
    </w:p>
    <w:p w14:paraId="4EC396E7" w14:textId="24347E69" w:rsidR="0033139B" w:rsidRPr="00C3251D" w:rsidRDefault="0033139B" w:rsidP="0033139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The United States is currently entering an important stage in artificial intelligence policymaking. Congress is actively debating federal AI legislation while the Administration continues developing federal guidelines that could shape future implementation and oversight. Although lawmakers generally agree that some form of regulation is necessary, significant disagreements remain regarding how extensive those regulations should be and what obligations should be placed on AI developers.</w:t>
      </w:r>
    </w:p>
    <w:p w14:paraId="408106EA" w14:textId="77777777" w:rsidR="0033139B" w:rsidRPr="00C3251D" w:rsidRDefault="0033139B" w:rsidP="0033139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Several policy issues have become central to ongoing discussions. First, lawmakers have proposed transparency requirements that could require companies to disclose information about model training, development practices, and system capabilities. Supporters argue that greater transparency improves accountability and public trust, while critics argue that broad disclosure requirements may create security concerns and reveal sensitive information. Second, policymakers are considering pre-deployment testing requirements intended to identify harmful outputs or unintended consequences before systems are publicly released. Finally, liability standards have become a major point of debate, particularly regarding how responsibility should be assigned when AI systems produce harmful outcomes.</w:t>
      </w:r>
    </w:p>
    <w:p w14:paraId="30F32789" w14:textId="77777777" w:rsidR="0033139B" w:rsidRPr="00C3251D" w:rsidRDefault="0033139B" w:rsidP="0033139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The company generally supports the idea of federal standards because a single national framework would likely provide more consistency than multiple state-level approaches. However, concerns exist that some proposed requirements could place greater burdens on U.S. companies than on foreign competitors that may operate outside comparable regulatory systems. Requirements that are too broad or unclear could increase compliance costs and slow innovation without necessarily creating stronger protections for consumers.</w:t>
      </w:r>
    </w:p>
    <w:p w14:paraId="07584BF8" w14:textId="77777777" w:rsidR="00485D8C" w:rsidRPr="00C3251D" w:rsidRDefault="00485D8C" w:rsidP="00485D8C">
      <w:pPr>
        <w:pStyle w:val="NormalWeb"/>
        <w:rPr>
          <w:sz w:val="22"/>
          <w:szCs w:val="22"/>
        </w:rPr>
      </w:pPr>
      <w:r w:rsidRPr="00C3251D">
        <w:rPr>
          <w:sz w:val="22"/>
          <w:szCs w:val="22"/>
        </w:rPr>
        <w:t>Several stakeholders will likely shape the development and implementation of AI policymaking. Within Congress, committees including the House Committee on Energy and Commerce, Senate Committee on Commerce, Science, and Transportation, and House and Senate Judiciary Committees will likely play major roles because of their jurisdiction over technology, consumer protection, and legal liability issues. Individual lawmakers who have taken active roles in AI discussions, such as Senate Majority Leader Chuck Schumer through his AI Insight Forums and members involved in technology and commerce issues, will also likely influence negotiations.</w:t>
      </w:r>
    </w:p>
    <w:p w14:paraId="7B407527" w14:textId="2D85DAF5" w:rsidR="0033139B" w:rsidRPr="00C3251D" w:rsidRDefault="00485D8C" w:rsidP="00485D8C">
      <w:pPr>
        <w:pStyle w:val="NormalWeb"/>
        <w:rPr>
          <w:sz w:val="22"/>
          <w:szCs w:val="22"/>
        </w:rPr>
      </w:pPr>
      <w:r w:rsidRPr="00C3251D">
        <w:rPr>
          <w:sz w:val="22"/>
          <w:szCs w:val="22"/>
        </w:rPr>
        <w:t>Within the executive branch, the Department of Commerce, the National Institute of Standards and Technology (NIST), the Federal Trade Commission, and the Office of Science and Technology Policy will likely play significant implementation and regulatory roles. Outside government, technology companies, universities, labor organizations, research institutions, advocacy groups, and consumers will continue shaping discussions surrounding AI policy.</w:t>
      </w:r>
    </w:p>
    <w:p w14:paraId="639EA7A7" w14:textId="77777777" w:rsidR="0033139B" w:rsidRPr="00C3251D" w:rsidRDefault="0033139B" w:rsidP="0033139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3251D">
        <w:rPr>
          <w:rFonts w:ascii="Times New Roman" w:eastAsia="Times New Roman" w:hAnsi="Times New Roman" w:cs="Times New Roman"/>
          <w:b/>
          <w:bCs/>
          <w:kern w:val="0"/>
          <w14:ligatures w14:val="none"/>
        </w:rPr>
        <w:t>Government Relations Strategy</w:t>
      </w:r>
    </w:p>
    <w:p w14:paraId="1CF6485A"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The recommended strategy is for the company to position itself as a supporter of responsible AI policymaking while advocating for practical implementation standards. Rather than relying primarily on traditional face-to-face lobbying, the company should pursue a broader strategy focused on shaping the overall policy environment surrounding AI legislation.</w:t>
      </w:r>
    </w:p>
    <w:p w14:paraId="2F426848"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The strategy should emphasize that innovation and public protections are not competing objectives. Instead, carefully designed policy can simultaneously promote consumer trust, economic competitiveness, and technological leadership.</w:t>
      </w:r>
    </w:p>
    <w:p w14:paraId="21A765DA"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The company's overall strategy should operate through four connected pillars:</w:t>
      </w:r>
    </w:p>
    <w:p w14:paraId="2DFB31EA"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C3251D">
        <w:rPr>
          <w:rFonts w:ascii="Times New Roman" w:eastAsia="Times New Roman" w:hAnsi="Times New Roman" w:cs="Times New Roman"/>
          <w:b/>
          <w:bCs/>
          <w:kern w:val="0"/>
          <w:sz w:val="22"/>
          <w:szCs w:val="22"/>
          <w14:ligatures w14:val="none"/>
        </w:rPr>
        <w:lastRenderedPageBreak/>
        <w:t>1. Lobbying and Direct Government Engagement</w:t>
      </w:r>
    </w:p>
    <w:p w14:paraId="18B6B00F"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The company should maintain direct engagement with policymakers, committee staff, executive agencies, and regulatory officials. Rather than opposing legislation, the company should advocate for:</w:t>
      </w:r>
    </w:p>
    <w:p w14:paraId="338CDEF4"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 Federal standards that create national consistency</w:t>
      </w:r>
      <w:r w:rsidRPr="00C3251D">
        <w:rPr>
          <w:rFonts w:ascii="Times New Roman" w:eastAsia="Times New Roman" w:hAnsi="Times New Roman" w:cs="Times New Roman"/>
          <w:kern w:val="0"/>
          <w:sz w:val="22"/>
          <w:szCs w:val="22"/>
          <w14:ligatures w14:val="none"/>
        </w:rPr>
        <w:br/>
        <w:t>• Risk-based approaches to AI oversight</w:t>
      </w:r>
      <w:r w:rsidRPr="00C3251D">
        <w:rPr>
          <w:rFonts w:ascii="Times New Roman" w:eastAsia="Times New Roman" w:hAnsi="Times New Roman" w:cs="Times New Roman"/>
          <w:kern w:val="0"/>
          <w:sz w:val="22"/>
          <w:szCs w:val="22"/>
          <w14:ligatures w14:val="none"/>
        </w:rPr>
        <w:br/>
        <w:t>• Flexible transparency requirements</w:t>
      </w:r>
      <w:r w:rsidRPr="00C3251D">
        <w:rPr>
          <w:rFonts w:ascii="Times New Roman" w:eastAsia="Times New Roman" w:hAnsi="Times New Roman" w:cs="Times New Roman"/>
          <w:kern w:val="0"/>
          <w:sz w:val="22"/>
          <w:szCs w:val="22"/>
          <w14:ligatures w14:val="none"/>
        </w:rPr>
        <w:br/>
        <w:t>• Practical testing standards</w:t>
      </w:r>
      <w:r w:rsidRPr="00C3251D">
        <w:rPr>
          <w:rFonts w:ascii="Times New Roman" w:eastAsia="Times New Roman" w:hAnsi="Times New Roman" w:cs="Times New Roman"/>
          <w:kern w:val="0"/>
          <w:sz w:val="22"/>
          <w:szCs w:val="22"/>
          <w14:ligatures w14:val="none"/>
        </w:rPr>
        <w:br/>
        <w:t>• Liability frameworks focused on negligence and misuse</w:t>
      </w:r>
    </w:p>
    <w:p w14:paraId="3E5216A0"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Direct engagement ensures that the company's concerns and recommendations remain part of legislative discussions.</w:t>
      </w:r>
    </w:p>
    <w:p w14:paraId="6E3AC5C0"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C3251D">
        <w:rPr>
          <w:rFonts w:ascii="Times New Roman" w:eastAsia="Times New Roman" w:hAnsi="Times New Roman" w:cs="Times New Roman"/>
          <w:b/>
          <w:bCs/>
          <w:kern w:val="0"/>
          <w:sz w:val="22"/>
          <w:szCs w:val="22"/>
          <w14:ligatures w14:val="none"/>
        </w:rPr>
        <w:t>2. Coalition Building</w:t>
      </w:r>
    </w:p>
    <w:p w14:paraId="5FC1377B"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The company should work alongside technology firms, startups, universities, independent researchers, and industry associations to build a broader coalition supporting workable AI policy.</w:t>
      </w:r>
    </w:p>
    <w:p w14:paraId="127A56B5"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Acting independently may make concerns appear self-interested. Coalition efforts create broader legitimacy and demonstrate that implementation concerns are shared by multiple stakeholders.</w:t>
      </w:r>
    </w:p>
    <w:p w14:paraId="7A5D1C3E"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This increases credibility and strengthens negotiating influence during legislative discussions.</w:t>
      </w:r>
    </w:p>
    <w:p w14:paraId="61116318"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C3251D">
        <w:rPr>
          <w:rFonts w:ascii="Times New Roman" w:eastAsia="Times New Roman" w:hAnsi="Times New Roman" w:cs="Times New Roman"/>
          <w:b/>
          <w:bCs/>
          <w:kern w:val="0"/>
          <w:sz w:val="22"/>
          <w:szCs w:val="22"/>
          <w14:ligatures w14:val="none"/>
        </w:rPr>
        <w:t>3. Workforce Education and Research</w:t>
      </w:r>
    </w:p>
    <w:p w14:paraId="73137133"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The company should sponsor research and educational efforts focused on the economic and workforce effects of AI policy proposals.</w:t>
      </w:r>
    </w:p>
    <w:p w14:paraId="4BEA976E"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Research priorities could include:</w:t>
      </w:r>
    </w:p>
    <w:p w14:paraId="01C03201"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 Economic costs of compliance requirements</w:t>
      </w:r>
      <w:r w:rsidRPr="00C3251D">
        <w:rPr>
          <w:rFonts w:ascii="Times New Roman" w:eastAsia="Times New Roman" w:hAnsi="Times New Roman" w:cs="Times New Roman"/>
          <w:kern w:val="0"/>
          <w:sz w:val="22"/>
          <w:szCs w:val="22"/>
          <w14:ligatures w14:val="none"/>
        </w:rPr>
        <w:br/>
        <w:t>• Effects on startup innovation</w:t>
      </w:r>
      <w:r w:rsidRPr="00C3251D">
        <w:rPr>
          <w:rFonts w:ascii="Times New Roman" w:eastAsia="Times New Roman" w:hAnsi="Times New Roman" w:cs="Times New Roman"/>
          <w:kern w:val="0"/>
          <w:sz w:val="22"/>
          <w:szCs w:val="22"/>
          <w14:ligatures w14:val="none"/>
        </w:rPr>
        <w:br/>
        <w:t>• Workforce impacts and job transitions</w:t>
      </w:r>
      <w:r w:rsidRPr="00C3251D">
        <w:rPr>
          <w:rFonts w:ascii="Times New Roman" w:eastAsia="Times New Roman" w:hAnsi="Times New Roman" w:cs="Times New Roman"/>
          <w:kern w:val="0"/>
          <w:sz w:val="22"/>
          <w:szCs w:val="22"/>
          <w14:ligatures w14:val="none"/>
        </w:rPr>
        <w:br/>
        <w:t>• International competitiveness</w:t>
      </w:r>
      <w:r w:rsidRPr="00C3251D">
        <w:rPr>
          <w:rFonts w:ascii="Times New Roman" w:eastAsia="Times New Roman" w:hAnsi="Times New Roman" w:cs="Times New Roman"/>
          <w:kern w:val="0"/>
          <w:sz w:val="22"/>
          <w:szCs w:val="22"/>
          <w14:ligatures w14:val="none"/>
        </w:rPr>
        <w:br/>
        <w:t>• Benefits of risk-based regulatory approaches</w:t>
      </w:r>
    </w:p>
    <w:p w14:paraId="454AF813"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Providing measurable evidence creates stronger arguments than relying only on broad concerns about regulation.</w:t>
      </w:r>
    </w:p>
    <w:p w14:paraId="681BD515"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C3251D">
        <w:rPr>
          <w:rFonts w:ascii="Times New Roman" w:eastAsia="Times New Roman" w:hAnsi="Times New Roman" w:cs="Times New Roman"/>
          <w:b/>
          <w:bCs/>
          <w:kern w:val="0"/>
          <w:sz w:val="22"/>
          <w:szCs w:val="22"/>
          <w14:ligatures w14:val="none"/>
        </w:rPr>
        <w:t>4. Public Engagement and Digital Advocacy</w:t>
      </w:r>
    </w:p>
    <w:p w14:paraId="1D4AD9BB" w14:textId="28C49D32"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The company should develop a public information strategy explaining how AI policymaking affects consumers, businesses, workers, and the broader economy.</w:t>
      </w:r>
      <w:r w:rsidR="00CD0EE2">
        <w:rPr>
          <w:rFonts w:ascii="Times New Roman" w:eastAsia="Times New Roman" w:hAnsi="Times New Roman" w:cs="Times New Roman"/>
          <w:kern w:val="0"/>
          <w:sz w:val="22"/>
          <w:szCs w:val="22"/>
          <w14:ligatures w14:val="none"/>
        </w:rPr>
        <w:br/>
      </w:r>
      <w:r w:rsidR="00CD0EE2">
        <w:rPr>
          <w:rFonts w:ascii="Times New Roman" w:eastAsia="Times New Roman" w:hAnsi="Times New Roman" w:cs="Times New Roman"/>
          <w:kern w:val="0"/>
          <w:sz w:val="22"/>
          <w:szCs w:val="22"/>
          <w14:ligatures w14:val="none"/>
        </w:rPr>
        <w:br/>
      </w:r>
      <w:r w:rsidRPr="00C3251D">
        <w:rPr>
          <w:rFonts w:ascii="Times New Roman" w:eastAsia="Times New Roman" w:hAnsi="Times New Roman" w:cs="Times New Roman"/>
          <w:kern w:val="0"/>
          <w:sz w:val="22"/>
          <w:szCs w:val="22"/>
          <w14:ligatures w14:val="none"/>
        </w:rPr>
        <w:t>Potential tools include:</w:t>
      </w:r>
      <w:r w:rsidR="00CD0EE2">
        <w:rPr>
          <w:rFonts w:ascii="Times New Roman" w:eastAsia="Times New Roman" w:hAnsi="Times New Roman" w:cs="Times New Roman"/>
          <w:kern w:val="0"/>
          <w:sz w:val="22"/>
          <w:szCs w:val="22"/>
          <w14:ligatures w14:val="none"/>
        </w:rPr>
        <w:br/>
      </w:r>
      <w:r w:rsidRPr="00C3251D">
        <w:rPr>
          <w:rFonts w:ascii="Times New Roman" w:eastAsia="Times New Roman" w:hAnsi="Times New Roman" w:cs="Times New Roman"/>
          <w:kern w:val="0"/>
          <w:sz w:val="22"/>
          <w:szCs w:val="22"/>
          <w14:ligatures w14:val="none"/>
        </w:rPr>
        <w:t>• Digital policy briefs</w:t>
      </w:r>
      <w:r w:rsidRPr="00C3251D">
        <w:rPr>
          <w:rFonts w:ascii="Times New Roman" w:eastAsia="Times New Roman" w:hAnsi="Times New Roman" w:cs="Times New Roman"/>
          <w:kern w:val="0"/>
          <w:sz w:val="22"/>
          <w:szCs w:val="22"/>
          <w14:ligatures w14:val="none"/>
        </w:rPr>
        <w:br/>
        <w:t>• Educational videos</w:t>
      </w:r>
      <w:r w:rsidRPr="00C3251D">
        <w:rPr>
          <w:rFonts w:ascii="Times New Roman" w:eastAsia="Times New Roman" w:hAnsi="Times New Roman" w:cs="Times New Roman"/>
          <w:kern w:val="0"/>
          <w:sz w:val="22"/>
          <w:szCs w:val="22"/>
          <w14:ligatures w14:val="none"/>
        </w:rPr>
        <w:br/>
        <w:t>• Webinars and public discussions</w:t>
      </w:r>
      <w:r w:rsidRPr="00C3251D">
        <w:rPr>
          <w:rFonts w:ascii="Times New Roman" w:eastAsia="Times New Roman" w:hAnsi="Times New Roman" w:cs="Times New Roman"/>
          <w:kern w:val="0"/>
          <w:sz w:val="22"/>
          <w:szCs w:val="22"/>
          <w14:ligatures w14:val="none"/>
        </w:rPr>
        <w:br/>
      </w:r>
      <w:r w:rsidRPr="00C3251D">
        <w:rPr>
          <w:rFonts w:ascii="Times New Roman" w:eastAsia="Times New Roman" w:hAnsi="Times New Roman" w:cs="Times New Roman"/>
          <w:kern w:val="0"/>
          <w:sz w:val="22"/>
          <w:szCs w:val="22"/>
          <w14:ligatures w14:val="none"/>
        </w:rPr>
        <w:lastRenderedPageBreak/>
        <w:t>• Social media campaigns</w:t>
      </w:r>
      <w:r w:rsidRPr="00C3251D">
        <w:rPr>
          <w:rFonts w:ascii="Times New Roman" w:eastAsia="Times New Roman" w:hAnsi="Times New Roman" w:cs="Times New Roman"/>
          <w:kern w:val="0"/>
          <w:sz w:val="22"/>
          <w:szCs w:val="22"/>
          <w14:ligatures w14:val="none"/>
        </w:rPr>
        <w:br/>
        <w:t>• Issue-focused educational content</w:t>
      </w:r>
    </w:p>
    <w:p w14:paraId="5B8F8CFC" w14:textId="77777777" w:rsidR="00D91372" w:rsidRPr="00C3251D" w:rsidRDefault="00D91372" w:rsidP="00D91372">
      <w:pPr>
        <w:spacing w:before="100" w:beforeAutospacing="1" w:after="100" w:afterAutospacing="1" w:line="240" w:lineRule="auto"/>
        <w:outlineLvl w:val="1"/>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The objective should not be opposition to regulation. Instead, the goal should be building public understanding around carefully designed policies that balance safety and innovation.</w:t>
      </w:r>
    </w:p>
    <w:p w14:paraId="3FBEBBB1" w14:textId="77777777" w:rsidR="0033139B" w:rsidRPr="00C3251D" w:rsidRDefault="0033139B" w:rsidP="0033139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3251D">
        <w:rPr>
          <w:rFonts w:ascii="Times New Roman" w:eastAsia="Times New Roman" w:hAnsi="Times New Roman" w:cs="Times New Roman"/>
          <w:b/>
          <w:bCs/>
          <w:kern w:val="0"/>
          <w14:ligatures w14:val="none"/>
        </w:rPr>
        <w:t>Conclusion</w:t>
      </w:r>
    </w:p>
    <w:p w14:paraId="5186BE0E" w14:textId="47468783" w:rsidR="00EA61B2" w:rsidRPr="00C3251D" w:rsidRDefault="000965D5" w:rsidP="000965D5">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3251D">
        <w:rPr>
          <w:rFonts w:ascii="Times New Roman" w:eastAsia="Times New Roman" w:hAnsi="Times New Roman" w:cs="Times New Roman"/>
          <w:kern w:val="0"/>
          <w:sz w:val="22"/>
          <w:szCs w:val="22"/>
          <w14:ligatures w14:val="none"/>
        </w:rPr>
        <w:t>The company should pursue a strategy focused on shaping policymaking rather than resisting it. Policymakers and the public increasingly expect practical solutions that balance innovation with public protections. By combining direct advocacy, coalition building, workforce education, research efforts, and public engagement, the company can position itself as a constructive participant in the policy process rather than simply another industry voice seeking to limit regulation.</w:t>
      </w:r>
    </w:p>
    <w:sectPr w:rsidR="00EA61B2" w:rsidRPr="00C325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56242"/>
    <w:multiLevelType w:val="multilevel"/>
    <w:tmpl w:val="75E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110D8"/>
    <w:multiLevelType w:val="multilevel"/>
    <w:tmpl w:val="E4369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C7404E"/>
    <w:multiLevelType w:val="multilevel"/>
    <w:tmpl w:val="46FC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ED04E9"/>
    <w:multiLevelType w:val="multilevel"/>
    <w:tmpl w:val="2124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77717"/>
    <w:multiLevelType w:val="multilevel"/>
    <w:tmpl w:val="EA32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676B82"/>
    <w:multiLevelType w:val="multilevel"/>
    <w:tmpl w:val="6BB2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708534">
    <w:abstractNumId w:val="0"/>
  </w:num>
  <w:num w:numId="2" w16cid:durableId="1090542308">
    <w:abstractNumId w:val="3"/>
  </w:num>
  <w:num w:numId="3" w16cid:durableId="23598024">
    <w:abstractNumId w:val="2"/>
  </w:num>
  <w:num w:numId="4" w16cid:durableId="238490854">
    <w:abstractNumId w:val="1"/>
  </w:num>
  <w:num w:numId="5" w16cid:durableId="200020958">
    <w:abstractNumId w:val="5"/>
  </w:num>
  <w:num w:numId="6" w16cid:durableId="12220576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3C5"/>
    <w:rsid w:val="000965D5"/>
    <w:rsid w:val="00235374"/>
    <w:rsid w:val="0033139B"/>
    <w:rsid w:val="003D1B14"/>
    <w:rsid w:val="00420E87"/>
    <w:rsid w:val="00485D8C"/>
    <w:rsid w:val="00683A27"/>
    <w:rsid w:val="006D3CA7"/>
    <w:rsid w:val="006D56B8"/>
    <w:rsid w:val="006E7D2E"/>
    <w:rsid w:val="00B01CBD"/>
    <w:rsid w:val="00C3251D"/>
    <w:rsid w:val="00CA5DC3"/>
    <w:rsid w:val="00CD0EE2"/>
    <w:rsid w:val="00D91372"/>
    <w:rsid w:val="00EA61B2"/>
    <w:rsid w:val="00F54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6CC795"/>
  <w15:chartTrackingRefBased/>
  <w15:docId w15:val="{6570C97E-2918-A44B-A0D9-1161C5187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4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4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4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3C5"/>
    <w:rPr>
      <w:rFonts w:eastAsiaTheme="majorEastAsia" w:cstheme="majorBidi"/>
      <w:color w:val="272727" w:themeColor="text1" w:themeTint="D8"/>
    </w:rPr>
  </w:style>
  <w:style w:type="paragraph" w:styleId="Title">
    <w:name w:val="Title"/>
    <w:basedOn w:val="Normal"/>
    <w:next w:val="Normal"/>
    <w:link w:val="TitleChar"/>
    <w:uiPriority w:val="10"/>
    <w:qFormat/>
    <w:rsid w:val="00F54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3C5"/>
    <w:pPr>
      <w:spacing w:before="160"/>
      <w:jc w:val="center"/>
    </w:pPr>
    <w:rPr>
      <w:i/>
      <w:iCs/>
      <w:color w:val="404040" w:themeColor="text1" w:themeTint="BF"/>
    </w:rPr>
  </w:style>
  <w:style w:type="character" w:customStyle="1" w:styleId="QuoteChar">
    <w:name w:val="Quote Char"/>
    <w:basedOn w:val="DefaultParagraphFont"/>
    <w:link w:val="Quote"/>
    <w:uiPriority w:val="29"/>
    <w:rsid w:val="00F543C5"/>
    <w:rPr>
      <w:i/>
      <w:iCs/>
      <w:color w:val="404040" w:themeColor="text1" w:themeTint="BF"/>
    </w:rPr>
  </w:style>
  <w:style w:type="paragraph" w:styleId="ListParagraph">
    <w:name w:val="List Paragraph"/>
    <w:basedOn w:val="Normal"/>
    <w:uiPriority w:val="34"/>
    <w:qFormat/>
    <w:rsid w:val="00F543C5"/>
    <w:pPr>
      <w:ind w:left="720"/>
      <w:contextualSpacing/>
    </w:pPr>
  </w:style>
  <w:style w:type="character" w:styleId="IntenseEmphasis">
    <w:name w:val="Intense Emphasis"/>
    <w:basedOn w:val="DefaultParagraphFont"/>
    <w:uiPriority w:val="21"/>
    <w:qFormat/>
    <w:rsid w:val="00F543C5"/>
    <w:rPr>
      <w:i/>
      <w:iCs/>
      <w:color w:val="0F4761" w:themeColor="accent1" w:themeShade="BF"/>
    </w:rPr>
  </w:style>
  <w:style w:type="paragraph" w:styleId="IntenseQuote">
    <w:name w:val="Intense Quote"/>
    <w:basedOn w:val="Normal"/>
    <w:next w:val="Normal"/>
    <w:link w:val="IntenseQuoteChar"/>
    <w:uiPriority w:val="30"/>
    <w:qFormat/>
    <w:rsid w:val="00F54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3C5"/>
    <w:rPr>
      <w:i/>
      <w:iCs/>
      <w:color w:val="0F4761" w:themeColor="accent1" w:themeShade="BF"/>
    </w:rPr>
  </w:style>
  <w:style w:type="character" w:styleId="IntenseReference">
    <w:name w:val="Intense Reference"/>
    <w:basedOn w:val="DefaultParagraphFont"/>
    <w:uiPriority w:val="32"/>
    <w:qFormat/>
    <w:rsid w:val="00F543C5"/>
    <w:rPr>
      <w:b/>
      <w:bCs/>
      <w:smallCaps/>
      <w:color w:val="0F4761" w:themeColor="accent1" w:themeShade="BF"/>
      <w:spacing w:val="5"/>
    </w:rPr>
  </w:style>
  <w:style w:type="paragraph" w:styleId="NormalWeb">
    <w:name w:val="Normal (Web)"/>
    <w:basedOn w:val="Normal"/>
    <w:uiPriority w:val="99"/>
    <w:unhideWhenUsed/>
    <w:rsid w:val="00F543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3A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2136781-9753-4c75-af28-68a078871ebf}" enabled="0" method="" siteId="{22136781-9753-4c75-af28-68a078871ebf}"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3</Pages>
  <Words>935</Words>
  <Characters>5336</Characters>
  <Application>Microsoft Office Word</Application>
  <DocSecurity>0</DocSecurity>
  <Lines>44</Lines>
  <Paragraphs>12</Paragraphs>
  <ScaleCrop>false</ScaleCrop>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Stein, Skyler Aston</dc:creator>
  <cp:keywords/>
  <dc:description/>
  <cp:lastModifiedBy>Stein, Skyler Aston</cp:lastModifiedBy>
  <cp:revision>13</cp:revision>
  <dcterms:created xsi:type="dcterms:W3CDTF">2026-05-20T00:50:00Z</dcterms:created>
  <dcterms:modified xsi:type="dcterms:W3CDTF">2026-06-10T20:46:00Z</dcterms:modified>
</cp:coreProperties>
</file>