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093D9" w14:textId="77777777" w:rsidR="004643EE" w:rsidRPr="004643EE" w:rsidRDefault="004643EE" w:rsidP="005735AD">
      <w:pPr>
        <w:spacing w:line="360" w:lineRule="auto"/>
        <w:rPr>
          <w:rFonts w:ascii="Times New Roman" w:hAnsi="Times New Roman" w:cs="Times New Roman"/>
          <w:b/>
          <w:bCs/>
          <w:i/>
          <w:iCs/>
          <w:sz w:val="28"/>
          <w:szCs w:val="28"/>
          <w:u w:val="single"/>
        </w:rPr>
      </w:pPr>
      <w:r w:rsidRPr="004643EE">
        <w:rPr>
          <w:rFonts w:ascii="Times New Roman" w:hAnsi="Times New Roman" w:cs="Times New Roman"/>
          <w:b/>
          <w:bCs/>
          <w:i/>
          <w:iCs/>
          <w:sz w:val="28"/>
          <w:szCs w:val="28"/>
          <w:u w:val="single"/>
        </w:rPr>
        <w:t>Cobalt and Capitalism: The Human Cost of the Electric Vehicle Revolution in the Congo</w:t>
      </w:r>
    </w:p>
    <w:p w14:paraId="66A4DB2C" w14:textId="71779F49" w:rsidR="004643EE" w:rsidRPr="004643EE" w:rsidRDefault="004643EE" w:rsidP="33ACEDE5">
      <w:pPr>
        <w:spacing w:line="480" w:lineRule="auto"/>
        <w:rPr>
          <w:rFonts w:ascii="Times New Roman" w:hAnsi="Times New Roman" w:cs="Times New Roman"/>
        </w:rPr>
      </w:pPr>
      <w:r w:rsidRPr="33ACEDE5">
        <w:rPr>
          <w:rFonts w:ascii="Times New Roman" w:hAnsi="Times New Roman" w:cs="Times New Roman"/>
        </w:rPr>
        <w:t xml:space="preserve">The global transition toward renewable energy and electric vehicles is often framed as a moral imperative and a technological triumph. Yet the green turn depends on a battery chemistry that ties low-carbon ambitions in the Global North to high-risk extraction in the Global South. Cobalt, which is critical for stabilizing many lithium-ion batteries, has become a linchpin of this transition. The Democratic Republic of Congo (DRC) </w:t>
      </w:r>
      <w:sdt>
        <w:sdtPr>
          <w:rPr>
            <w:rFonts w:ascii="Times New Roman" w:hAnsi="Times New Roman" w:cs="Times New Roman"/>
          </w:rPr>
          <w:tag w:val="tii-similarity-U1VCTUlUVEVEX1dPUktfb2lkOjYwOTk6NTA0NTMzOTQy"/>
          <w:id w:val="-1351795522"/>
          <w:placeholder>
            <w:docPart w:val="DefaultPlaceholder_-1854013440"/>
          </w:placeholder>
          <w15:appearance w15:val="hidden"/>
        </w:sdtPr>
        <w:sdtContent>
          <w:r w:rsidRPr="33ACEDE5">
            <w:rPr>
              <w:rFonts w:ascii="Times New Roman" w:hAnsi="Times New Roman" w:cs="Times New Roman"/>
            </w:rPr>
            <w:t>supplies the</w:t>
          </w:r>
        </w:sdtContent>
      </w:sdt>
      <w:r w:rsidRPr="33ACEDE5">
        <w:rPr>
          <w:rFonts w:ascii="Times New Roman" w:hAnsi="Times New Roman" w:cs="Times New Roman"/>
        </w:rPr>
        <w:t xml:space="preserve"> large </w:t>
      </w:r>
      <w:sdt>
        <w:sdtPr>
          <w:rPr>
            <w:rFonts w:ascii="Times New Roman" w:hAnsi="Times New Roman" w:cs="Times New Roman"/>
          </w:rPr>
          <w:tag w:val="tii-similarity-U1VCTUlUVEVEX1dPUktfb2lkOjYwOTk6NTA0NTMzOTQy"/>
          <w:id w:val="709693492"/>
          <w:placeholder>
            <w:docPart w:val="DefaultPlaceholder_-1854013440"/>
          </w:placeholder>
          <w15:appearance w15:val="hidden"/>
        </w:sdtPr>
        <w:sdtContent>
          <w:r w:rsidRPr="33ACEDE5">
            <w:rPr>
              <w:rFonts w:ascii="Times New Roman" w:hAnsi="Times New Roman" w:cs="Times New Roman"/>
            </w:rPr>
            <w:t>majority of the world’s</w:t>
          </w:r>
        </w:sdtContent>
      </w:sdt>
      <w:r w:rsidRPr="33ACEDE5">
        <w:rPr>
          <w:rFonts w:ascii="Times New Roman" w:hAnsi="Times New Roman" w:cs="Times New Roman"/>
        </w:rPr>
        <w:t xml:space="preserve"> cobalt, placing Congolese communities at the front line of the social and ecological costs that underwrite “clean” mobility. This paper argues that the current cobalt boom reproduces long-standing colonial patterns in which value flows outward while risk and degradation remain local. Economic growth and export revenues are real, but they coexist with hazardous labor, child exploitation, and environmental harm. An ethically defensible energy transition therefore requires binding rules on traceability and labor conditions, investment in Congolese livelihoods beyond mining, and international mechanisms that curb the externalization of social and ecological costs from North to South (IEA 2021; Amnesty International 2016).</w:t>
      </w:r>
    </w:p>
    <w:p w14:paraId="5D79240A" w14:textId="56FBE30B" w:rsidR="004643EE" w:rsidRPr="004643EE" w:rsidRDefault="004643EE" w:rsidP="33ACEDE5">
      <w:pPr>
        <w:spacing w:line="480" w:lineRule="auto"/>
        <w:rPr>
          <w:rFonts w:ascii="Times New Roman" w:hAnsi="Times New Roman" w:cs="Times New Roman"/>
        </w:rPr>
      </w:pPr>
      <w:r w:rsidRPr="33ACEDE5">
        <w:rPr>
          <w:rFonts w:ascii="Times New Roman" w:hAnsi="Times New Roman" w:cs="Times New Roman"/>
        </w:rPr>
        <w:t xml:space="preserve">The Congolese cobalt story is not an anomaly but a recent chapter in a much longer history of extraction without accountability. Colonial rule in Central Africa was justified with civilizing rhetoric while destroying local economies and ecologies to meet external demand. Contemporary cobalt supply chains retain that basic structure: the commodity is prized for its contribution to climate mitigation abroad, while the human and environmental costs are borne in mining provinces such as Lualaba and Haut-Katanga. In policy and corporate narratives, these costs are often invisible, folded into abstractions like “critical minerals” and “sustainable growth.” Yet in mining towns like Kolwezi, the realities are concrete: artisanal diggers working without </w:t>
      </w:r>
      <w:r w:rsidRPr="33ACEDE5">
        <w:rPr>
          <w:rFonts w:ascii="Times New Roman" w:hAnsi="Times New Roman" w:cs="Times New Roman"/>
        </w:rPr>
        <w:lastRenderedPageBreak/>
        <w:t>protective equipment, families living beside tailings, and children drawn into hazardous sites by poverty and lack of schooling (Amnesty International 2016). The vocabulary has changed since the colonial era, but the asymmetry of power and payoff is strikingly familiar.</w:t>
      </w:r>
    </w:p>
    <w:p w14:paraId="0B68738B" w14:textId="77777777" w:rsidR="004643EE" w:rsidRPr="004643EE" w:rsidRDefault="004643EE" w:rsidP="33ACEDE5">
      <w:pPr>
        <w:spacing w:line="480" w:lineRule="auto"/>
        <w:rPr>
          <w:rFonts w:ascii="Times New Roman" w:hAnsi="Times New Roman" w:cs="Times New Roman"/>
        </w:rPr>
      </w:pPr>
      <w:r w:rsidRPr="33ACEDE5">
        <w:rPr>
          <w:rFonts w:ascii="Times New Roman" w:hAnsi="Times New Roman" w:cs="Times New Roman"/>
        </w:rPr>
        <w:t>Demand for cobalt has accelerated with the rapid scale-up of electric vehicles (EVs) and stationary storage. The International Energy Agency reports that energy-transition minerals experienced strong growth in 2023, and cobalt demand is projected to remain elevated as battery markets expand, even as chemistries gradually reduce cobalt content (IEA 2021; IEA 2023). These macro trends translate into intensified pressure at mine sites in the DRC, which provides roughly 70 percent of global supply in a typical year. A World Bank sector note underscores this concentration, reporting that in 2019 alone the DRC accounted for about 70 percent of world output, an extreme market share that magnifies the social stakes of governance within the country (World Bank 2021). Where the world sees decarbonization inputs and secure supply, local communities experience a volatile boom with limited channels for capturing long-term benefits.</w:t>
      </w:r>
    </w:p>
    <w:p w14:paraId="44532C32" w14:textId="68D3D34B" w:rsidR="00A94D01" w:rsidRPr="00A94D01" w:rsidRDefault="00A94D01" w:rsidP="33ACEDE5">
      <w:pPr>
        <w:spacing w:line="480" w:lineRule="auto"/>
        <w:rPr>
          <w:rFonts w:ascii="Times New Roman" w:hAnsi="Times New Roman" w:cs="Times New Roman"/>
        </w:rPr>
      </w:pPr>
      <w:r w:rsidRPr="33ACEDE5">
        <w:rPr>
          <w:rFonts w:ascii="Times New Roman" w:hAnsi="Times New Roman" w:cs="Times New Roman"/>
        </w:rPr>
        <w:t xml:space="preserve">On the ground, cobalt extraction occurs through two broad channels: industrial </w:t>
      </w:r>
      <w:sdt>
        <w:sdtPr>
          <w:rPr>
            <w:rFonts w:ascii="Times New Roman" w:hAnsi="Times New Roman" w:cs="Times New Roman"/>
          </w:rPr>
          <w:tag w:val="tii-similarity-UFVCTElDQVRJT05fTmF0YWxpYSBZYWtvdmxldmEsIEVkbXVuZCBOaWNrbGVzcy4gIlJvdXRsZWRnZSBIYW5kYm9vayBvZiB0aGUgRXh0cmFjdGl2ZSBJbmR1c3RyaWVzIGFuZCBTdXN0YWluYWJsZSBEZXZlbG9wbWVudCIsIFJvdXRsZWRnZSwgMjAyMg=="/>
          <w:id w:val="1249308499"/>
          <w:placeholder>
            <w:docPart w:val="DefaultPlaceholder_-1854013440"/>
          </w:placeholder>
          <w15:appearance w15:val="hidden"/>
        </w:sdtPr>
        <w:sdtContent>
          <w:r w:rsidRPr="33ACEDE5">
            <w:rPr>
              <w:rFonts w:ascii="Times New Roman" w:hAnsi="Times New Roman" w:cs="Times New Roman"/>
            </w:rPr>
            <w:t>mining (LSM</w:t>
          </w:r>
        </w:sdtContent>
      </w:sdt>
      <w:r w:rsidR="00EC5CE8" w:rsidRPr="33ACEDE5">
        <w:rPr>
          <w:rFonts w:ascii="Times New Roman" w:hAnsi="Times New Roman" w:cs="Times New Roman"/>
        </w:rPr>
        <w:t xml:space="preserve">, </w:t>
      </w:r>
      <w:r w:rsidRPr="33ACEDE5">
        <w:rPr>
          <w:rFonts w:ascii="Times New Roman" w:hAnsi="Times New Roman" w:cs="Times New Roman"/>
        </w:rPr>
        <w:t>large-</w:t>
      </w:r>
      <w:sdt>
        <w:sdtPr>
          <w:rPr>
            <w:rFonts w:ascii="Times New Roman" w:hAnsi="Times New Roman" w:cs="Times New Roman"/>
          </w:rPr>
          <w:tag w:val="tii-similarity-UFVCTElDQVRJT05fTmF0YWxpYSBZYWtvdmxldmEsIEVkbXVuZCBOaWNrbGVzcy4gIlJvdXRsZWRnZSBIYW5kYm9vayBvZiB0aGUgRXh0cmFjdGl2ZSBJbmR1c3RyaWVzIGFuZCBTdXN0YWluYWJsZSBEZXZlbG9wbWVudCIsIFJvdXRsZWRnZSwgMjAyMg=="/>
          <w:id w:val="-1833744605"/>
          <w:placeholder>
            <w:docPart w:val="DefaultPlaceholder_-1854013440"/>
          </w:placeholder>
          <w15:appearance w15:val="hidden"/>
        </w:sdtPr>
        <w:sdtContent>
          <w:r w:rsidRPr="33ACEDE5">
            <w:rPr>
              <w:rFonts w:ascii="Times New Roman" w:hAnsi="Times New Roman" w:cs="Times New Roman"/>
            </w:rPr>
            <w:t>scale mining)</w:t>
          </w:r>
        </w:sdtContent>
      </w:sdt>
      <w:r w:rsidRPr="33ACEDE5">
        <w:rPr>
          <w:rFonts w:ascii="Times New Roman" w:hAnsi="Times New Roman" w:cs="Times New Roman"/>
        </w:rPr>
        <w:t xml:space="preserve"> </w:t>
      </w:r>
      <w:sdt>
        <w:sdtPr>
          <w:rPr>
            <w:rFonts w:ascii="Times New Roman" w:hAnsi="Times New Roman" w:cs="Times New Roman"/>
          </w:rPr>
          <w:tag w:val="tii-similarity-UFVCTElDQVRJT05fTmF0YWxpYSBZYWtvdmxldmEsIEVkbXVuZCBOaWNrbGVzcy4gIlJvdXRsZWRnZSBIYW5kYm9vayBvZiB0aGUgRXh0cmFjdGl2ZSBJbmR1c3RyaWVzIGFuZCBTdXN0YWluYWJsZSBEZXZlbG9wbWVudCIsIFJvdXRsZWRnZSwgMjAyMg=="/>
          <w:id w:val="559062510"/>
          <w:placeholder>
            <w:docPart w:val="DefaultPlaceholder_-1854013440"/>
          </w:placeholder>
          <w15:appearance w15:val="hidden"/>
        </w:sdtPr>
        <w:sdtContent>
          <w:r w:rsidRPr="33ACEDE5">
            <w:rPr>
              <w:rFonts w:ascii="Times New Roman" w:hAnsi="Times New Roman" w:cs="Times New Roman"/>
            </w:rPr>
            <w:t>and artisanal and small-scale mining (ASM</w:t>
          </w:r>
        </w:sdtContent>
      </w:sdt>
      <w:r w:rsidRPr="33ACEDE5">
        <w:rPr>
          <w:rFonts w:ascii="Times New Roman" w:hAnsi="Times New Roman" w:cs="Times New Roman"/>
        </w:rPr>
        <w:t xml:space="preserve">). Industrial sites, typically operated by foreign firms, generate sizeable tonnage but have faced scrutiny for water contamination, dust emissions, and inadequate community consultation. ASM sites, meanwhile, are woven into local economies but carry acute safety risks: unreinforced pits, tunnel collapses, and exposure to particulate and metal-laden dust. Amnesty International’s field investigations documented </w:t>
      </w:r>
      <w:sdt>
        <w:sdtPr>
          <w:rPr>
            <w:rFonts w:ascii="Times New Roman" w:hAnsi="Times New Roman" w:cs="Times New Roman"/>
          </w:rPr>
          <w:tag w:val="tii-similarity-U1VCTUlUVEVEX1dPUktfb2lkOjYzNzQ6NDUxMTMxMjk3"/>
          <w:id w:val="709072801"/>
          <w:placeholder>
            <w:docPart w:val="DefaultPlaceholder_-1854013440"/>
          </w:placeholder>
          <w15:appearance w15:val="hidden"/>
        </w:sdtPr>
        <w:sdtContent>
          <w:r w:rsidRPr="33ACEDE5">
            <w:rPr>
              <w:rFonts w:ascii="Times New Roman" w:hAnsi="Times New Roman" w:cs="Times New Roman"/>
            </w:rPr>
            <w:t>children as young as</w:t>
          </w:r>
        </w:sdtContent>
      </w:sdt>
      <w:r w:rsidRPr="33ACEDE5">
        <w:rPr>
          <w:rFonts w:ascii="Times New Roman" w:hAnsi="Times New Roman" w:cs="Times New Roman"/>
        </w:rPr>
        <w:t xml:space="preserve"> </w:t>
      </w:r>
      <w:sdt>
        <w:sdtPr>
          <w:rPr>
            <w:rFonts w:ascii="Times New Roman" w:hAnsi="Times New Roman" w:cs="Times New Roman"/>
          </w:rPr>
          <w:tag w:val="tii-similarity-U1VCTUlUVEVEX1dPUktfb2lkOjYzNzQ6NDUxMTMxMjk3"/>
          <w:id w:val="669531738"/>
          <w:placeholder>
            <w:docPart w:val="DefaultPlaceholder_-1854013440"/>
          </w:placeholder>
          <w15:appearance w15:val="hidden"/>
        </w:sdtPr>
        <w:sdtContent>
          <w:r w:rsidRPr="33ACEDE5">
            <w:rPr>
              <w:rFonts w:ascii="Times New Roman" w:hAnsi="Times New Roman" w:cs="Times New Roman"/>
            </w:rPr>
            <w:t>seven</w:t>
          </w:r>
        </w:sdtContent>
      </w:sdt>
      <w:r w:rsidRPr="33ACEDE5">
        <w:rPr>
          <w:rFonts w:ascii="Times New Roman" w:hAnsi="Times New Roman" w:cs="Times New Roman"/>
        </w:rPr>
        <w:t xml:space="preserve"> working </w:t>
      </w:r>
      <w:sdt>
        <w:sdtPr>
          <w:rPr>
            <w:rFonts w:ascii="Times New Roman" w:hAnsi="Times New Roman" w:cs="Times New Roman"/>
          </w:rPr>
          <w:tag w:val="tii-similarity-U1VCTUlUVEVEX1dPUktfb2lkOjYzNzQ6NDUxMTMxMjk3"/>
          <w:id w:val="1400711306"/>
          <w:placeholder>
            <w:docPart w:val="DefaultPlaceholder_-1854013440"/>
          </w:placeholder>
          <w15:appearance w15:val="hidden"/>
        </w:sdtPr>
        <w:sdtContent>
          <w:r w:rsidRPr="33ACEDE5">
            <w:rPr>
              <w:rFonts w:ascii="Times New Roman" w:hAnsi="Times New Roman" w:cs="Times New Roman"/>
            </w:rPr>
            <w:t>in perilous conditions without</w:t>
          </w:r>
        </w:sdtContent>
      </w:sdt>
      <w:r w:rsidRPr="33ACEDE5">
        <w:rPr>
          <w:rFonts w:ascii="Times New Roman" w:hAnsi="Times New Roman" w:cs="Times New Roman"/>
        </w:rPr>
        <w:t xml:space="preserve"> basic </w:t>
      </w:r>
      <w:sdt>
        <w:sdtPr>
          <w:rPr>
            <w:rFonts w:ascii="Times New Roman" w:hAnsi="Times New Roman" w:cs="Times New Roman"/>
          </w:rPr>
          <w:tag w:val="tii-similarity-U1VCTUlUVEVEX1dPUktfb2lkOjYzNzQ6NDUxMTMxMjk3"/>
          <w:id w:val="1119571452"/>
          <w:placeholder>
            <w:docPart w:val="DefaultPlaceholder_-1854013440"/>
          </w:placeholder>
          <w15:appearance w15:val="hidden"/>
        </w:sdtPr>
        <w:sdtContent>
          <w:r w:rsidRPr="33ACEDE5">
            <w:rPr>
              <w:rFonts w:ascii="Times New Roman" w:hAnsi="Times New Roman" w:cs="Times New Roman"/>
            </w:rPr>
            <w:t>protective gear</w:t>
          </w:r>
        </w:sdtContent>
      </w:sdt>
      <w:r w:rsidR="00667389" w:rsidRPr="33ACEDE5">
        <w:rPr>
          <w:rFonts w:ascii="Times New Roman" w:hAnsi="Times New Roman" w:cs="Times New Roman"/>
        </w:rPr>
        <w:t xml:space="preserve">, </w:t>
      </w:r>
      <w:r w:rsidRPr="33ACEDE5">
        <w:rPr>
          <w:rFonts w:ascii="Times New Roman" w:hAnsi="Times New Roman" w:cs="Times New Roman"/>
        </w:rPr>
        <w:t xml:space="preserve">an emblem of broader household survival strategies in regions where formal employment is scarce (Amnesty International 2016). Health concerns are not hypothetical. The World Health </w:t>
      </w:r>
      <w:r w:rsidRPr="33ACEDE5">
        <w:rPr>
          <w:rFonts w:ascii="Times New Roman" w:hAnsi="Times New Roman" w:cs="Times New Roman"/>
        </w:rPr>
        <w:lastRenderedPageBreak/>
        <w:t xml:space="preserve">Organization’s assessment of cobalt and inorganic cobalt compounds links exposure to respiratory irritation and other systemic effects, especially where dust control is poor and water sources are contaminated (WHO 2006). Recent reporting by RAID and </w:t>
      </w:r>
      <w:proofErr w:type="spellStart"/>
      <w:r w:rsidRPr="33ACEDE5">
        <w:rPr>
          <w:rFonts w:ascii="Times New Roman" w:hAnsi="Times New Roman" w:cs="Times New Roman"/>
        </w:rPr>
        <w:t>Afrewatch</w:t>
      </w:r>
      <w:proofErr w:type="spellEnd"/>
      <w:r w:rsidRPr="33ACEDE5">
        <w:rPr>
          <w:rFonts w:ascii="Times New Roman" w:hAnsi="Times New Roman" w:cs="Times New Roman"/>
        </w:rPr>
        <w:t xml:space="preserve"> adds gendered dimensions to the risk profile, highlighting reproductive health issues among women living near industrial sites, including higher reported rates of miscarriage and infections consistent with exposure to polluted water</w:t>
      </w:r>
      <w:r w:rsidR="00667389" w:rsidRPr="33ACEDE5">
        <w:rPr>
          <w:rFonts w:ascii="Times New Roman" w:hAnsi="Times New Roman" w:cs="Times New Roman"/>
        </w:rPr>
        <w:t xml:space="preserve">, </w:t>
      </w:r>
      <w:r w:rsidRPr="33ACEDE5">
        <w:rPr>
          <w:rFonts w:ascii="Times New Roman" w:hAnsi="Times New Roman" w:cs="Times New Roman"/>
        </w:rPr>
        <w:t>an effect of domestic roles that bring women into frequent contact with contaminated sources (RAID/</w:t>
      </w:r>
      <w:proofErr w:type="spellStart"/>
      <w:r w:rsidRPr="33ACEDE5">
        <w:rPr>
          <w:rFonts w:ascii="Times New Roman" w:hAnsi="Times New Roman" w:cs="Times New Roman"/>
        </w:rPr>
        <w:t>Afrewatch</w:t>
      </w:r>
      <w:proofErr w:type="spellEnd"/>
      <w:r w:rsidRPr="33ACEDE5">
        <w:rPr>
          <w:rFonts w:ascii="Times New Roman" w:hAnsi="Times New Roman" w:cs="Times New Roman"/>
        </w:rPr>
        <w:t xml:space="preserve"> 2024). </w:t>
      </w:r>
    </w:p>
    <w:p w14:paraId="45D346F7" w14:textId="66AF4876" w:rsidR="00A94D01" w:rsidRPr="00A94D01" w:rsidRDefault="00A94D01" w:rsidP="33ACEDE5">
      <w:pPr>
        <w:spacing w:line="480" w:lineRule="auto"/>
        <w:rPr>
          <w:rFonts w:ascii="Times New Roman" w:hAnsi="Times New Roman" w:cs="Times New Roman"/>
        </w:rPr>
      </w:pPr>
      <w:r w:rsidRPr="33ACEDE5">
        <w:rPr>
          <w:rFonts w:ascii="Times New Roman" w:hAnsi="Times New Roman" w:cs="Times New Roman"/>
        </w:rPr>
        <w:t xml:space="preserve">Proponents of the mining boom emphasize macroeconomic positives: foreign direct investment, export revenues, fiscal receipts, and infrastructure spending tied to mineral corridors. Those benefits matter. Yet the distribution is sharply skewed. Public finance data and development diagnostics repeatedly describe “growth without development,” where enclave extraction expands GDP but underperforms on poverty reduction, broad-based employment, and human capital. A World Bank note on cobalt’s role in the DRC economy illustrates that mismatch: the sector anchors exports and fiscal inflows, but linkages to local value addition remain thin, and revenue governance challenges persist (World Bank 2021). Meanwhile, air, soil, and water burdens are localized; when ore grades fall or prices dip, the volatility is transmitted directly to workers and communities. In short, the value chain’s price and technology risks are socialized in the DRC, while stable returns accrue largely to downstream manufacturers and consumers abroad. </w:t>
      </w:r>
    </w:p>
    <w:p w14:paraId="55565289" w14:textId="427DDAB4" w:rsidR="00A94D01" w:rsidRPr="00A94D01" w:rsidRDefault="00A94D01" w:rsidP="33ACEDE5">
      <w:pPr>
        <w:spacing w:line="480" w:lineRule="auto"/>
        <w:rPr>
          <w:rFonts w:ascii="Times New Roman" w:hAnsi="Times New Roman" w:cs="Times New Roman"/>
        </w:rPr>
      </w:pPr>
      <w:r w:rsidRPr="33ACEDE5">
        <w:rPr>
          <w:rFonts w:ascii="Times New Roman" w:hAnsi="Times New Roman" w:cs="Times New Roman"/>
        </w:rPr>
        <w:t xml:space="preserve">The policy architecture that should discipline these harms has significant gaps. In the United States, Section 1502 of </w:t>
      </w:r>
      <w:sdt>
        <w:sdtPr>
          <w:rPr>
            <w:rFonts w:ascii="Times New Roman" w:hAnsi="Times New Roman" w:cs="Times New Roman"/>
          </w:rPr>
          <w:tag w:val="tii-similarity-UFVCTElDQVRJT05fTmF0YWxpYSBZYWtvdmxldmEsIEVkbXVuZCBOaWNrbGVzcy4gIlJvdXRsZWRnZSBIYW5kYm9vayBvZiB0aGUgRXh0cmFjdGl2ZSBJbmR1c3RyaWVzIGFuZCBTdXN0YWluYWJsZSBEZXZlbG9wbWVudCIsIFJvdXRsZWRnZSwgMjAyMg=="/>
          <w:id w:val="-1135401167"/>
          <w:placeholder>
            <w:docPart w:val="DefaultPlaceholder_-1854013440"/>
          </w:placeholder>
          <w15:appearance w15:val="hidden"/>
        </w:sdtPr>
        <w:sdtContent>
          <w:r w:rsidRPr="33ACEDE5">
            <w:rPr>
              <w:rFonts w:ascii="Times New Roman" w:hAnsi="Times New Roman" w:cs="Times New Roman"/>
            </w:rPr>
            <w:t>the Dodd-Frank Act</w:t>
          </w:r>
        </w:sdtContent>
      </w:sdt>
      <w:r w:rsidRPr="33ACEDE5">
        <w:rPr>
          <w:rFonts w:ascii="Times New Roman" w:hAnsi="Times New Roman" w:cs="Times New Roman"/>
        </w:rPr>
        <w:t xml:space="preserve"> established disclosure rules for “</w:t>
      </w:r>
      <w:sdt>
        <w:sdtPr>
          <w:rPr>
            <w:rFonts w:ascii="Times New Roman" w:hAnsi="Times New Roman" w:cs="Times New Roman"/>
          </w:rPr>
          <w:tag w:val="tii-similarity-U1VCTUlUVEVEX1dPUktfb2lkOjE6MzM4MDAzMjg5MQ=="/>
          <w:id w:val="-1833450269"/>
          <w:placeholder>
            <w:docPart w:val="DefaultPlaceholder_-1854013440"/>
          </w:placeholder>
          <w15:appearance w15:val="hidden"/>
        </w:sdtPr>
        <w:sdtContent>
          <w:r w:rsidRPr="33ACEDE5">
            <w:rPr>
              <w:rFonts w:ascii="Times New Roman" w:hAnsi="Times New Roman" w:cs="Times New Roman"/>
            </w:rPr>
            <w:t>conflict minerals</w:t>
          </w:r>
        </w:sdtContent>
      </w:sdt>
      <w:r w:rsidRPr="33ACEDE5">
        <w:rPr>
          <w:rFonts w:ascii="Times New Roman" w:hAnsi="Times New Roman" w:cs="Times New Roman"/>
        </w:rPr>
        <w:t xml:space="preserve">” sourced </w:t>
      </w:r>
      <w:sdt>
        <w:sdtPr>
          <w:rPr>
            <w:rFonts w:ascii="Times New Roman" w:hAnsi="Times New Roman" w:cs="Times New Roman"/>
          </w:rPr>
          <w:tag w:val="tii-similarity-U1VCTUlUVEVEX1dPUktfb2lkOjE6MzM4MDAzMjg5MQ=="/>
          <w:id w:val="1575542458"/>
          <w:placeholder>
            <w:docPart w:val="DefaultPlaceholder_-1854013440"/>
          </w:placeholder>
          <w15:appearance w15:val="hidden"/>
        </w:sdtPr>
        <w:sdtContent>
          <w:r w:rsidRPr="33ACEDE5">
            <w:rPr>
              <w:rFonts w:ascii="Times New Roman" w:hAnsi="Times New Roman" w:cs="Times New Roman"/>
            </w:rPr>
            <w:t>from the DRC and</w:t>
          </w:r>
        </w:sdtContent>
      </w:sdt>
      <w:r w:rsidRPr="33ACEDE5">
        <w:rPr>
          <w:rFonts w:ascii="Times New Roman" w:hAnsi="Times New Roman" w:cs="Times New Roman"/>
        </w:rPr>
        <w:t xml:space="preserve"> adjoining countries, but it covers only 3TG (</w:t>
      </w:r>
      <w:sdt>
        <w:sdtPr>
          <w:rPr>
            <w:rFonts w:ascii="Times New Roman" w:hAnsi="Times New Roman" w:cs="Times New Roman"/>
          </w:rPr>
          <w:tag w:val="tii-similarity-SU5URVJORVRfbmV3cy55YWhvby5jb20="/>
          <w:id w:val="305678845"/>
          <w:placeholder>
            <w:docPart w:val="DefaultPlaceholder_-1854013440"/>
          </w:placeholder>
          <w15:appearance w15:val="hidden"/>
        </w:sdtPr>
        <w:sdtContent>
          <w:r w:rsidRPr="33ACEDE5">
            <w:rPr>
              <w:rFonts w:ascii="Times New Roman" w:hAnsi="Times New Roman" w:cs="Times New Roman"/>
            </w:rPr>
            <w:t>tin, tantalum, tungsten</w:t>
          </w:r>
        </w:sdtContent>
      </w:sdt>
      <w:r w:rsidRPr="33ACEDE5">
        <w:rPr>
          <w:rFonts w:ascii="Times New Roman" w:hAnsi="Times New Roman" w:cs="Times New Roman"/>
        </w:rPr>
        <w:t xml:space="preserve">) and </w:t>
      </w:r>
      <w:sdt>
        <w:sdtPr>
          <w:rPr>
            <w:rFonts w:ascii="Times New Roman" w:hAnsi="Times New Roman" w:cs="Times New Roman"/>
          </w:rPr>
          <w:tag w:val="tii-similarity-SU5URVJORVRfbmV3cy55YWhvby5jb20="/>
          <w:id w:val="1177310049"/>
          <w:placeholder>
            <w:docPart w:val="DefaultPlaceholder_-1854013440"/>
          </w:placeholder>
          <w15:appearance w15:val="hidden"/>
        </w:sdtPr>
        <w:sdtContent>
          <w:r w:rsidRPr="33ACEDE5">
            <w:rPr>
              <w:rFonts w:ascii="Times New Roman" w:hAnsi="Times New Roman" w:cs="Times New Roman"/>
            </w:rPr>
            <w:t>gold</w:t>
          </w:r>
        </w:sdtContent>
      </w:sdt>
      <w:r w:rsidR="00667389" w:rsidRPr="33ACEDE5">
        <w:rPr>
          <w:rFonts w:ascii="Times New Roman" w:hAnsi="Times New Roman" w:cs="Times New Roman"/>
        </w:rPr>
        <w:t xml:space="preserve">, </w:t>
      </w:r>
      <w:r w:rsidRPr="33ACEDE5">
        <w:rPr>
          <w:rFonts w:ascii="Times New Roman" w:hAnsi="Times New Roman" w:cs="Times New Roman"/>
        </w:rPr>
        <w:t xml:space="preserve">not cobalt </w:t>
      </w:r>
      <w:sdt>
        <w:sdtPr>
          <w:rPr>
            <w:rFonts w:ascii="Times New Roman" w:hAnsi="Times New Roman" w:cs="Times New Roman"/>
          </w:rPr>
          <w:tag w:val="tii-similarity-SU5URVJORVRfbmV3cy55YWhvby5jb20="/>
          <w:id w:val="-495498585"/>
          <w:placeholder>
            <w:docPart w:val="DefaultPlaceholder_-1854013440"/>
          </w:placeholder>
          <w15:appearance w15:val="hidden"/>
        </w:sdtPr>
        <w:sdtContent>
          <w:r w:rsidRPr="33ACEDE5">
            <w:rPr>
              <w:rFonts w:ascii="Times New Roman" w:hAnsi="Times New Roman" w:cs="Times New Roman"/>
            </w:rPr>
            <w:t>(Responsible Minerals Initiative</w:t>
          </w:r>
        </w:sdtContent>
      </w:sdt>
      <w:r w:rsidRPr="33ACEDE5">
        <w:rPr>
          <w:rFonts w:ascii="Times New Roman" w:hAnsi="Times New Roman" w:cs="Times New Roman"/>
        </w:rPr>
        <w:t xml:space="preserve"> n.d.). That exclusion leaves a major battery </w:t>
      </w:r>
      <w:r w:rsidRPr="33ACEDE5">
        <w:rPr>
          <w:rFonts w:ascii="Times New Roman" w:hAnsi="Times New Roman" w:cs="Times New Roman"/>
        </w:rPr>
        <w:lastRenderedPageBreak/>
        <w:t>metal outside a well-known transparency regime. In the European Union, the new Batteries Regulation (EU) 2023/1542 introduces sweeping requirements across the battery life cycle, including due-diligence obligations, carbon footprint rules, and a digital “battery passport” for traceability</w:t>
      </w:r>
      <w:r w:rsidR="00667389" w:rsidRPr="33ACEDE5">
        <w:rPr>
          <w:rFonts w:ascii="Times New Roman" w:hAnsi="Times New Roman" w:cs="Times New Roman"/>
        </w:rPr>
        <w:t xml:space="preserve">, </w:t>
      </w:r>
      <w:r w:rsidRPr="33ACEDE5">
        <w:rPr>
          <w:rFonts w:ascii="Times New Roman" w:hAnsi="Times New Roman" w:cs="Times New Roman"/>
        </w:rPr>
        <w:t>an important step toward accountability that will phase in across the coming years (EUR-Lex 2023). These frameworks signal progress, but they do not, on their own, guarantee safe labor or clean water in mining zones: enforcement is uneven, and corporate self-certification can collapse into public-relations exercises when monitoring is weak and local remediation is underfunded.</w:t>
      </w:r>
      <w:r w:rsidR="004E5A0A" w:rsidRPr="33ACEDE5">
        <w:rPr>
          <w:rFonts w:ascii="Times New Roman" w:hAnsi="Times New Roman" w:cs="Times New Roman"/>
        </w:rPr>
        <w:t xml:space="preserve"> </w:t>
      </w:r>
    </w:p>
    <w:p w14:paraId="6BA945AE" w14:textId="79CBA7F4" w:rsidR="00A94D01" w:rsidRPr="00A94D01" w:rsidRDefault="00A94D01" w:rsidP="33ACEDE5">
      <w:pPr>
        <w:spacing w:line="480" w:lineRule="auto"/>
        <w:rPr>
          <w:rFonts w:ascii="Times New Roman" w:hAnsi="Times New Roman" w:cs="Times New Roman"/>
        </w:rPr>
      </w:pPr>
      <w:r w:rsidRPr="33ACEDE5">
        <w:rPr>
          <w:rFonts w:ascii="Times New Roman" w:hAnsi="Times New Roman" w:cs="Times New Roman"/>
        </w:rPr>
        <w:t>Corporate and multistakeholder initiatives have emerged to fill the gaps, with mixed results. The Fair Cobalt Alliance (FCA) collaborates with local cooperatives to prevent child labor and establish referral and remediation systems in ASM areas</w:t>
      </w:r>
      <w:r w:rsidR="00667389" w:rsidRPr="33ACEDE5">
        <w:rPr>
          <w:rFonts w:ascii="Times New Roman" w:hAnsi="Times New Roman" w:cs="Times New Roman"/>
        </w:rPr>
        <w:t xml:space="preserve">, </w:t>
      </w:r>
      <w:r w:rsidRPr="33ACEDE5">
        <w:rPr>
          <w:rFonts w:ascii="Times New Roman" w:hAnsi="Times New Roman" w:cs="Times New Roman"/>
        </w:rPr>
        <w:t>recognizing that child work in mining is a symptom of household poverty rather than an isolated moral failing (FCA n.d.). Such interventions can reduce harm when they are rooted in local institutions, offer real alternatives (cash transfers, school support, childcare), and include community monitoring. But voluntary efforts are not a substitute for binding obligations. Without independent audits, transparent grievance processes, and consequences for non-compliance, “responsible sourcing” risks becoming a label that travels more easily than improvements on the ground.</w:t>
      </w:r>
      <w:r w:rsidR="004E5A0A" w:rsidRPr="33ACEDE5">
        <w:rPr>
          <w:rFonts w:ascii="Times New Roman" w:hAnsi="Times New Roman" w:cs="Times New Roman"/>
        </w:rPr>
        <w:t xml:space="preserve"> </w:t>
      </w:r>
    </w:p>
    <w:p w14:paraId="57E32456" w14:textId="1CF43133" w:rsidR="00A94D01" w:rsidRPr="00A94D01" w:rsidRDefault="00A94D01" w:rsidP="33ACEDE5">
      <w:pPr>
        <w:spacing w:line="480" w:lineRule="auto"/>
        <w:rPr>
          <w:rFonts w:ascii="Times New Roman" w:hAnsi="Times New Roman" w:cs="Times New Roman"/>
        </w:rPr>
      </w:pPr>
      <w:r w:rsidRPr="33ACEDE5">
        <w:rPr>
          <w:rFonts w:ascii="Times New Roman" w:hAnsi="Times New Roman" w:cs="Times New Roman"/>
        </w:rPr>
        <w:t>A further structural risk is price and policy volatility. The DRC government has recently experimented with tighter control over exports, shifting from temporary bans to quota systems intended to stabilize prices, steer volumes, and address traceability concerns connected to ASM supply. In late 2025, authorities announced quotas capping cobalt exports for the remainder of the year and setting annual ceilings through 2027</w:t>
      </w:r>
      <w:r w:rsidR="00667389" w:rsidRPr="33ACEDE5">
        <w:rPr>
          <w:rFonts w:ascii="Times New Roman" w:hAnsi="Times New Roman" w:cs="Times New Roman"/>
        </w:rPr>
        <w:t xml:space="preserve">, </w:t>
      </w:r>
      <w:r w:rsidRPr="33ACEDE5">
        <w:rPr>
          <w:rFonts w:ascii="Times New Roman" w:hAnsi="Times New Roman" w:cs="Times New Roman"/>
        </w:rPr>
        <w:t xml:space="preserve">an effort to manage oversupply and reassert national leverage over a strategic mineral (Reuters 2025; </w:t>
      </w:r>
      <w:r w:rsidRPr="33ACEDE5">
        <w:rPr>
          <w:rFonts w:ascii="Times New Roman" w:hAnsi="Times New Roman" w:cs="Times New Roman"/>
          <w:i/>
          <w:iCs/>
        </w:rPr>
        <w:t>Le Monde</w:t>
      </w:r>
      <w:r w:rsidRPr="33ACEDE5">
        <w:rPr>
          <w:rFonts w:ascii="Times New Roman" w:hAnsi="Times New Roman" w:cs="Times New Roman"/>
        </w:rPr>
        <w:t xml:space="preserve"> 2025). While macro-</w:t>
      </w:r>
      <w:r w:rsidRPr="33ACEDE5">
        <w:rPr>
          <w:rFonts w:ascii="Times New Roman" w:hAnsi="Times New Roman" w:cs="Times New Roman"/>
        </w:rPr>
        <w:lastRenderedPageBreak/>
        <w:t xml:space="preserve">stabilization is a legitimate goal, poorly designed quotas can also create incentives for illicit trade or favor incumbents, squeezing smaller operators and communities unless paired with transparent allocation, robust oversight, and tailored support for ASM formalization. </w:t>
      </w:r>
    </w:p>
    <w:p w14:paraId="3FF5E876" w14:textId="6E4E84DE" w:rsidR="00A94D01" w:rsidRPr="00A94D01" w:rsidRDefault="00A94D01" w:rsidP="33ACEDE5">
      <w:pPr>
        <w:spacing w:line="480" w:lineRule="auto"/>
        <w:rPr>
          <w:rFonts w:ascii="Times New Roman" w:hAnsi="Times New Roman" w:cs="Times New Roman"/>
        </w:rPr>
      </w:pPr>
      <w:r w:rsidRPr="33ACEDE5">
        <w:rPr>
          <w:rFonts w:ascii="Times New Roman" w:hAnsi="Times New Roman" w:cs="Times New Roman"/>
        </w:rPr>
        <w:t xml:space="preserve">These governance debates intersect with the ideology of “green growth.” The prevailing narrative holds that market-led innovation will decouple economic expansion from environmental harm, producing both prosperity and decarbonization. Critical political-economy scholarship challenges that optimism. Jason Hickel argues that the green transition, as currently structured, continues patterns of unequal exchange: peripheral regions provide material inputs at discounted social and ecological prices, while core regions capture high-value returns (Hickel 2023). In cobalt, that dynamic is visible in the geography of risk (concentrated in mining zones) and the geography of reward (concentrated in EV manufacturing hubs and consumer markets). If the world electrifies transport by replicating this pattern, the climate wins will come paired with deepening extractive frontiers, not the just transition promised by policymakers. (This is not an argument against electrification; it is an argument for changing the terms on which electrification proceeds.) </w:t>
      </w:r>
    </w:p>
    <w:p w14:paraId="57E3BBF3" w14:textId="77777777" w:rsidR="00A94D01" w:rsidRPr="00A94D01" w:rsidRDefault="00A94D01" w:rsidP="33ACEDE5">
      <w:pPr>
        <w:spacing w:line="480" w:lineRule="auto"/>
        <w:rPr>
          <w:rFonts w:ascii="Times New Roman" w:hAnsi="Times New Roman" w:cs="Times New Roman"/>
        </w:rPr>
      </w:pPr>
      <w:r w:rsidRPr="33ACEDE5">
        <w:rPr>
          <w:rFonts w:ascii="Times New Roman" w:hAnsi="Times New Roman" w:cs="Times New Roman"/>
        </w:rPr>
        <w:t xml:space="preserve">None of this means the sector is incapable of improvement, or that benefits are illusory. Formal employment in LSM can exceed local wage alternatives; mineral revenue can fund roads, clinics, and schools; and partnerships can raise safety standards in ASM. The question is how those gains are made durable and </w:t>
      </w:r>
      <w:proofErr w:type="gramStart"/>
      <w:r w:rsidRPr="33ACEDE5">
        <w:rPr>
          <w:rFonts w:ascii="Times New Roman" w:hAnsi="Times New Roman" w:cs="Times New Roman"/>
        </w:rPr>
        <w:t>fairly distributed</w:t>
      </w:r>
      <w:proofErr w:type="gramEnd"/>
      <w:r w:rsidRPr="33ACEDE5">
        <w:rPr>
          <w:rFonts w:ascii="Times New Roman" w:hAnsi="Times New Roman" w:cs="Times New Roman"/>
        </w:rPr>
        <w:t>. Three pillars are essential.</w:t>
      </w:r>
    </w:p>
    <w:p w14:paraId="56AE453F" w14:textId="234A7E69" w:rsidR="00A94D01" w:rsidRPr="00A94D01" w:rsidRDefault="00A94D01" w:rsidP="33ACEDE5">
      <w:pPr>
        <w:spacing w:line="480" w:lineRule="auto"/>
        <w:rPr>
          <w:rFonts w:ascii="Times New Roman" w:hAnsi="Times New Roman" w:cs="Times New Roman"/>
        </w:rPr>
      </w:pPr>
      <w:r w:rsidRPr="33ACEDE5">
        <w:rPr>
          <w:rFonts w:ascii="Times New Roman" w:hAnsi="Times New Roman" w:cs="Times New Roman"/>
        </w:rPr>
        <w:t xml:space="preserve">First, supply-chain transparency must be mandatory and granular. Cobalt should be explicitly brought under conflict-mineral-style due diligence in the United States and aligned with the EU battery passport’s traceability requirements. Disclosures should reach beyond “country of origin” to site-level data on labor conditions, water quality, tailings management, and community </w:t>
      </w:r>
      <w:r w:rsidRPr="33ACEDE5">
        <w:rPr>
          <w:rFonts w:ascii="Times New Roman" w:hAnsi="Times New Roman" w:cs="Times New Roman"/>
        </w:rPr>
        <w:lastRenderedPageBreak/>
        <w:t>grievances</w:t>
      </w:r>
      <w:r w:rsidR="00667389" w:rsidRPr="33ACEDE5">
        <w:rPr>
          <w:rFonts w:ascii="Times New Roman" w:hAnsi="Times New Roman" w:cs="Times New Roman"/>
        </w:rPr>
        <w:t xml:space="preserve">, </w:t>
      </w:r>
      <w:r w:rsidRPr="33ACEDE5">
        <w:rPr>
          <w:rFonts w:ascii="Times New Roman" w:hAnsi="Times New Roman" w:cs="Times New Roman"/>
        </w:rPr>
        <w:t xml:space="preserve">verified by independent auditors with public summaries. Governments and investors can require this through procurement rules and listing standards, ensuring that responsible production is a prerequisite for market access (EUR-Lex 2023). </w:t>
      </w:r>
    </w:p>
    <w:p w14:paraId="76A37845" w14:textId="6D71449A" w:rsidR="00A94D01" w:rsidRPr="00A94D01" w:rsidRDefault="00A94D01" w:rsidP="33ACEDE5">
      <w:pPr>
        <w:spacing w:line="480" w:lineRule="auto"/>
        <w:rPr>
          <w:rFonts w:ascii="Times New Roman" w:hAnsi="Times New Roman" w:cs="Times New Roman"/>
        </w:rPr>
      </w:pPr>
      <w:r w:rsidRPr="33ACEDE5">
        <w:rPr>
          <w:rFonts w:ascii="Times New Roman" w:hAnsi="Times New Roman" w:cs="Times New Roman"/>
        </w:rPr>
        <w:t>Second, remediation must be funded at the scale of harm. It is unrealistic to expect ASM households to forgo dangerous income without substitutes. A credible child-labor strategy pairs strict site controls with scholarships, school feeding, guaranteed income for caregivers, and safe youth employment pathways</w:t>
      </w:r>
      <w:r w:rsidR="00667389" w:rsidRPr="33ACEDE5">
        <w:rPr>
          <w:rFonts w:ascii="Times New Roman" w:hAnsi="Times New Roman" w:cs="Times New Roman"/>
        </w:rPr>
        <w:t xml:space="preserve">, </w:t>
      </w:r>
      <w:r w:rsidRPr="33ACEDE5">
        <w:rPr>
          <w:rFonts w:ascii="Times New Roman" w:hAnsi="Times New Roman" w:cs="Times New Roman"/>
        </w:rPr>
        <w:t xml:space="preserve">implemented with Congolese authorities and civil society. Corporate social-impact budgets should move from ad hoc projects to pooled, independently governed funds that finance long-term water, health, and education investments in mining communes. The FCA’s child-labor referral model offers a starting template that should be expanded and evaluated transparently (FCA n.d.). </w:t>
      </w:r>
    </w:p>
    <w:p w14:paraId="7849EEF7" w14:textId="35F9616F" w:rsidR="00A94D01" w:rsidRPr="00A94D01" w:rsidRDefault="00A94D01" w:rsidP="33ACEDE5">
      <w:pPr>
        <w:spacing w:line="480" w:lineRule="auto"/>
        <w:rPr>
          <w:rFonts w:ascii="Times New Roman" w:hAnsi="Times New Roman" w:cs="Times New Roman"/>
        </w:rPr>
      </w:pPr>
      <w:r w:rsidRPr="33ACEDE5">
        <w:rPr>
          <w:rFonts w:ascii="Times New Roman" w:hAnsi="Times New Roman" w:cs="Times New Roman"/>
        </w:rPr>
        <w:t xml:space="preserve">Third, structural diversification is non-negotiable. Mining towns need alternatives before ore grades decline or prices fall. Downstream processing inside the DRC can capture some value, but even more important are sectors that do not depend on mineral cycles: </w:t>
      </w:r>
      <w:proofErr w:type="spellStart"/>
      <w:r w:rsidRPr="33ACEDE5">
        <w:rPr>
          <w:rFonts w:ascii="Times New Roman" w:hAnsi="Times New Roman" w:cs="Times New Roman"/>
        </w:rPr>
        <w:t>agro</w:t>
      </w:r>
      <w:proofErr w:type="spellEnd"/>
      <w:r w:rsidRPr="33ACEDE5">
        <w:rPr>
          <w:rFonts w:ascii="Times New Roman" w:hAnsi="Times New Roman" w:cs="Times New Roman"/>
        </w:rPr>
        <w:t>-processing, renewable power for local industry, and services linked to regional markets. Development partners should align concessional finance and technical assistance toward these aims, not only toward “ethical mining.” Without broad-based livelihoods, any gains in safety or wages will remain fragile when commodity markets turn. That pattern</w:t>
      </w:r>
      <w:r w:rsidR="00667389" w:rsidRPr="33ACEDE5">
        <w:rPr>
          <w:rFonts w:ascii="Times New Roman" w:hAnsi="Times New Roman" w:cs="Times New Roman"/>
        </w:rPr>
        <w:t xml:space="preserve">, </w:t>
      </w:r>
      <w:r w:rsidRPr="33ACEDE5">
        <w:rPr>
          <w:rFonts w:ascii="Times New Roman" w:hAnsi="Times New Roman" w:cs="Times New Roman"/>
        </w:rPr>
        <w:t>growth without development</w:t>
      </w:r>
      <w:r w:rsidR="00667389" w:rsidRPr="33ACEDE5">
        <w:rPr>
          <w:rFonts w:ascii="Times New Roman" w:hAnsi="Times New Roman" w:cs="Times New Roman"/>
        </w:rPr>
        <w:t xml:space="preserve">, </w:t>
      </w:r>
      <w:r w:rsidRPr="33ACEDE5">
        <w:rPr>
          <w:rFonts w:ascii="Times New Roman" w:hAnsi="Times New Roman" w:cs="Times New Roman"/>
        </w:rPr>
        <w:t xml:space="preserve">is precisely what must be avoided (World Bank 2021). </w:t>
      </w:r>
    </w:p>
    <w:p w14:paraId="47617C55" w14:textId="3D94E8E1" w:rsidR="00A94D01" w:rsidRPr="00A94D01" w:rsidRDefault="00A94D01" w:rsidP="33ACEDE5">
      <w:pPr>
        <w:spacing w:line="480" w:lineRule="auto"/>
        <w:rPr>
          <w:rFonts w:ascii="Times New Roman" w:hAnsi="Times New Roman" w:cs="Times New Roman"/>
        </w:rPr>
      </w:pPr>
      <w:r w:rsidRPr="33ACEDE5">
        <w:rPr>
          <w:rFonts w:ascii="Times New Roman" w:hAnsi="Times New Roman" w:cs="Times New Roman"/>
        </w:rPr>
        <w:t xml:space="preserve">Ultimately, a just energy transition requires changing who bears which risks and who captures which rewards. The present arrangement leaves too many Congolese communities with polluted water, precarious incomes, and few alternatives, all in the name of sustainability elsewhere. The EV revolution is necessary for climate reasons, but its legitimacy rests on respecting labor rights, </w:t>
      </w:r>
      <w:r w:rsidRPr="33ACEDE5">
        <w:rPr>
          <w:rFonts w:ascii="Times New Roman" w:hAnsi="Times New Roman" w:cs="Times New Roman"/>
        </w:rPr>
        <w:lastRenderedPageBreak/>
        <w:t>protecting health, and investing in shared prosperity along the supply chain</w:t>
      </w:r>
      <w:r w:rsidR="00667389" w:rsidRPr="33ACEDE5">
        <w:rPr>
          <w:rFonts w:ascii="Times New Roman" w:hAnsi="Times New Roman" w:cs="Times New Roman"/>
        </w:rPr>
        <w:t xml:space="preserve">, </w:t>
      </w:r>
      <w:r w:rsidRPr="33ACEDE5">
        <w:rPr>
          <w:rFonts w:ascii="Times New Roman" w:hAnsi="Times New Roman" w:cs="Times New Roman"/>
        </w:rPr>
        <w:t>not merely on shrinking tailpipes in wealthy countries. If policy makers, companies, and consumers in the Global North claim the mantle of climate responsibility, they must accept responsibility for the full social ecology of the minerals that enable it. The green future should not be financed by the sacrifice of those whose only “choice” is to dig.</w:t>
      </w:r>
    </w:p>
    <w:p w14:paraId="01EB9370" w14:textId="5DA3264F" w:rsidR="00A94D01" w:rsidRPr="00A94D01" w:rsidRDefault="00A94D01" w:rsidP="005735AD">
      <w:pPr>
        <w:spacing w:line="360" w:lineRule="auto"/>
        <w:rPr>
          <w:rFonts w:ascii="Times New Roman" w:hAnsi="Times New Roman" w:cs="Times New Roman"/>
        </w:rPr>
      </w:pPr>
    </w:p>
    <w:p w14:paraId="50B4706B" w14:textId="77777777" w:rsidR="005F4E8C" w:rsidRPr="005F4E8C" w:rsidRDefault="005F4E8C" w:rsidP="005F4E8C">
      <w:pPr>
        <w:spacing w:after="240" w:line="360" w:lineRule="auto"/>
        <w:jc w:val="center"/>
        <w:outlineLvl w:val="0"/>
        <w:rPr>
          <w:rFonts w:ascii="Times New Roman" w:eastAsia="Times New Roman" w:hAnsi="Times New Roman" w:cs="Times New Roman"/>
          <w:b/>
          <w:bCs/>
          <w:kern w:val="36"/>
          <w14:ligatures w14:val="none"/>
        </w:rPr>
      </w:pPr>
      <w:r w:rsidRPr="005F4E8C">
        <w:rPr>
          <w:rFonts w:ascii="Times New Roman" w:eastAsia="Times New Roman" w:hAnsi="Times New Roman" w:cs="Times New Roman"/>
          <w:b/>
          <w:bCs/>
          <w:kern w:val="36"/>
          <w14:ligatures w14:val="none"/>
        </w:rPr>
        <w:t>Bibliography</w:t>
      </w:r>
    </w:p>
    <w:p w14:paraId="35498BD1" w14:textId="2D1B44D3" w:rsidR="005F4E8C" w:rsidRDefault="005F4E8C" w:rsidP="005F4E8C">
      <w:pPr>
        <w:spacing w:after="0" w:line="360" w:lineRule="auto"/>
        <w:ind w:left="720" w:hanging="720"/>
        <w:rPr>
          <w:rFonts w:ascii="Times New Roman" w:eastAsia="Times New Roman" w:hAnsi="Times New Roman" w:cs="Times New Roman"/>
          <w:kern w:val="0"/>
          <w14:ligatures w14:val="none"/>
        </w:rPr>
      </w:pPr>
      <w:r w:rsidRPr="005F4E8C">
        <w:rPr>
          <w:rFonts w:ascii="Times New Roman" w:eastAsia="Times New Roman" w:hAnsi="Times New Roman" w:cs="Times New Roman"/>
          <w:kern w:val="0"/>
          <w14:ligatures w14:val="none"/>
        </w:rPr>
        <w:t xml:space="preserve">Amnesty International. 2016. “Democratic Republic of Congo: ‘This Is What We Die For’: Human Rights Abuses in the Democratic Republic of the Congo Power the Global Trade in Cobalt.” Amnesty.org. 2016. </w:t>
      </w:r>
      <w:hyperlink r:id="rId7" w:history="1">
        <w:r w:rsidR="00DA5219" w:rsidRPr="005F4E8C">
          <w:rPr>
            <w:rStyle w:val="Hyperlink"/>
            <w:rFonts w:ascii="Times New Roman" w:eastAsia="Times New Roman" w:hAnsi="Times New Roman" w:cs="Times New Roman"/>
            <w:kern w:val="0"/>
            <w14:ligatures w14:val="none"/>
          </w:rPr>
          <w:t>https://www.amnesty.org/en/documents/afr62/3183/2016/en/</w:t>
        </w:r>
      </w:hyperlink>
      <w:r w:rsidRPr="005F4E8C">
        <w:rPr>
          <w:rFonts w:ascii="Times New Roman" w:eastAsia="Times New Roman" w:hAnsi="Times New Roman" w:cs="Times New Roman"/>
          <w:kern w:val="0"/>
          <w14:ligatures w14:val="none"/>
        </w:rPr>
        <w:t>.</w:t>
      </w:r>
    </w:p>
    <w:p w14:paraId="513F6429" w14:textId="77777777" w:rsidR="00DA5219" w:rsidRPr="005F4E8C" w:rsidRDefault="00DA5219" w:rsidP="005F4E8C">
      <w:pPr>
        <w:spacing w:after="0" w:line="360" w:lineRule="auto"/>
        <w:ind w:left="720" w:hanging="720"/>
        <w:rPr>
          <w:rFonts w:ascii="Times New Roman" w:eastAsia="Times New Roman" w:hAnsi="Times New Roman" w:cs="Times New Roman"/>
          <w:kern w:val="0"/>
          <w14:ligatures w14:val="none"/>
        </w:rPr>
      </w:pPr>
    </w:p>
    <w:p w14:paraId="6185ADAF" w14:textId="19B61C6D" w:rsidR="005F4E8C" w:rsidRDefault="005F4E8C" w:rsidP="005F4E8C">
      <w:pPr>
        <w:spacing w:after="0" w:line="360" w:lineRule="auto"/>
        <w:ind w:left="720" w:hanging="720"/>
        <w:rPr>
          <w:rFonts w:ascii="Times New Roman" w:eastAsia="Times New Roman" w:hAnsi="Times New Roman" w:cs="Times New Roman"/>
          <w:kern w:val="0"/>
          <w14:ligatures w14:val="none"/>
        </w:rPr>
      </w:pPr>
      <w:r w:rsidRPr="005F4E8C">
        <w:rPr>
          <w:rFonts w:ascii="Times New Roman" w:eastAsia="Times New Roman" w:hAnsi="Times New Roman" w:cs="Times New Roman"/>
          <w:kern w:val="0"/>
          <w14:ligatures w14:val="none"/>
        </w:rPr>
        <w:t xml:space="preserve">“Child </w:t>
      </w:r>
      <w:proofErr w:type="spellStart"/>
      <w:r w:rsidRPr="005F4E8C">
        <w:rPr>
          <w:rFonts w:ascii="Times New Roman" w:eastAsia="Times New Roman" w:hAnsi="Times New Roman" w:cs="Times New Roman"/>
          <w:kern w:val="0"/>
          <w14:ligatures w14:val="none"/>
        </w:rPr>
        <w:t>Labour</w:t>
      </w:r>
      <w:proofErr w:type="spellEnd"/>
      <w:r w:rsidRPr="005F4E8C">
        <w:rPr>
          <w:rFonts w:ascii="Times New Roman" w:eastAsia="Times New Roman" w:hAnsi="Times New Roman" w:cs="Times New Roman"/>
          <w:kern w:val="0"/>
          <w14:ligatures w14:val="none"/>
        </w:rPr>
        <w:t xml:space="preserve"> Remediation - the Fair Cobalt Alliance.” 2024. The Fair Cobalt Alliance. November 25, 2024. </w:t>
      </w:r>
      <w:hyperlink r:id="rId8" w:history="1">
        <w:r w:rsidR="00DA5219" w:rsidRPr="005F4E8C">
          <w:rPr>
            <w:rStyle w:val="Hyperlink"/>
            <w:rFonts w:ascii="Times New Roman" w:eastAsia="Times New Roman" w:hAnsi="Times New Roman" w:cs="Times New Roman"/>
            <w:kern w:val="0"/>
            <w14:ligatures w14:val="none"/>
          </w:rPr>
          <w:t>https://faircobaltalliance.org/child-labour-remediation/</w:t>
        </w:r>
      </w:hyperlink>
      <w:r w:rsidRPr="005F4E8C">
        <w:rPr>
          <w:rFonts w:ascii="Times New Roman" w:eastAsia="Times New Roman" w:hAnsi="Times New Roman" w:cs="Times New Roman"/>
          <w:kern w:val="0"/>
          <w14:ligatures w14:val="none"/>
        </w:rPr>
        <w:t>.</w:t>
      </w:r>
    </w:p>
    <w:p w14:paraId="38EE3DD8" w14:textId="77777777" w:rsidR="00DA5219" w:rsidRPr="005F4E8C" w:rsidRDefault="00DA5219" w:rsidP="005F4E8C">
      <w:pPr>
        <w:spacing w:after="0" w:line="360" w:lineRule="auto"/>
        <w:ind w:left="720" w:hanging="720"/>
        <w:rPr>
          <w:rFonts w:ascii="Times New Roman" w:eastAsia="Times New Roman" w:hAnsi="Times New Roman" w:cs="Times New Roman"/>
          <w:kern w:val="0"/>
          <w14:ligatures w14:val="none"/>
        </w:rPr>
      </w:pPr>
    </w:p>
    <w:p w14:paraId="60650DD4" w14:textId="3F3BD564" w:rsidR="005F4E8C" w:rsidRDefault="005F4E8C" w:rsidP="005F4E8C">
      <w:pPr>
        <w:spacing w:after="0" w:line="360" w:lineRule="auto"/>
        <w:ind w:left="720" w:hanging="720"/>
        <w:rPr>
          <w:rFonts w:ascii="Times New Roman" w:eastAsia="Times New Roman" w:hAnsi="Times New Roman" w:cs="Times New Roman"/>
          <w:kern w:val="0"/>
          <w14:ligatures w14:val="none"/>
        </w:rPr>
      </w:pPr>
      <w:r w:rsidRPr="005F4E8C">
        <w:rPr>
          <w:rFonts w:ascii="Times New Roman" w:eastAsia="Times New Roman" w:hAnsi="Times New Roman" w:cs="Times New Roman"/>
          <w:kern w:val="0"/>
          <w14:ligatures w14:val="none"/>
        </w:rPr>
        <w:t xml:space="preserve">Critical Minerals - Energy System - IEA. 2024. “Critical Minerals - Energy System - IEA.” IEA. 2024. </w:t>
      </w:r>
      <w:hyperlink r:id="rId9" w:history="1">
        <w:r w:rsidR="00DA5219" w:rsidRPr="005F4E8C">
          <w:rPr>
            <w:rStyle w:val="Hyperlink"/>
            <w:rFonts w:ascii="Times New Roman" w:eastAsia="Times New Roman" w:hAnsi="Times New Roman" w:cs="Times New Roman"/>
            <w:kern w:val="0"/>
            <w14:ligatures w14:val="none"/>
          </w:rPr>
          <w:t>https://www.iea.org/energy-system/industry/critical-minerals</w:t>
        </w:r>
      </w:hyperlink>
      <w:r w:rsidRPr="005F4E8C">
        <w:rPr>
          <w:rFonts w:ascii="Times New Roman" w:eastAsia="Times New Roman" w:hAnsi="Times New Roman" w:cs="Times New Roman"/>
          <w:kern w:val="0"/>
          <w14:ligatures w14:val="none"/>
        </w:rPr>
        <w:t>.</w:t>
      </w:r>
    </w:p>
    <w:p w14:paraId="4BF30B2B" w14:textId="77777777" w:rsidR="00DA5219" w:rsidRPr="005F4E8C" w:rsidRDefault="00DA5219" w:rsidP="005F4E8C">
      <w:pPr>
        <w:spacing w:after="0" w:line="360" w:lineRule="auto"/>
        <w:ind w:left="720" w:hanging="720"/>
        <w:rPr>
          <w:rFonts w:ascii="Times New Roman" w:eastAsia="Times New Roman" w:hAnsi="Times New Roman" w:cs="Times New Roman"/>
          <w:kern w:val="0"/>
          <w14:ligatures w14:val="none"/>
        </w:rPr>
      </w:pPr>
    </w:p>
    <w:p w14:paraId="1FD07681" w14:textId="7C64F72D" w:rsidR="005F4E8C" w:rsidRDefault="005F4E8C" w:rsidP="005F4E8C">
      <w:pPr>
        <w:spacing w:after="0" w:line="360" w:lineRule="auto"/>
        <w:ind w:left="720" w:hanging="720"/>
        <w:rPr>
          <w:rFonts w:ascii="Times New Roman" w:eastAsia="Times New Roman" w:hAnsi="Times New Roman" w:cs="Times New Roman"/>
          <w:kern w:val="0"/>
          <w14:ligatures w14:val="none"/>
        </w:rPr>
      </w:pPr>
      <w:r w:rsidRPr="005F4E8C">
        <w:rPr>
          <w:rFonts w:ascii="Times New Roman" w:eastAsia="Times New Roman" w:hAnsi="Times New Roman" w:cs="Times New Roman"/>
          <w:kern w:val="0"/>
          <w14:ligatures w14:val="none"/>
        </w:rPr>
        <w:t xml:space="preserve">Douet, Marion. 2025. “La RDC, Premier </w:t>
      </w:r>
      <w:proofErr w:type="spellStart"/>
      <w:r w:rsidRPr="005F4E8C">
        <w:rPr>
          <w:rFonts w:ascii="Times New Roman" w:eastAsia="Times New Roman" w:hAnsi="Times New Roman" w:cs="Times New Roman"/>
          <w:kern w:val="0"/>
          <w14:ligatures w14:val="none"/>
        </w:rPr>
        <w:t>Producteur</w:t>
      </w:r>
      <w:proofErr w:type="spellEnd"/>
      <w:r w:rsidRPr="005F4E8C">
        <w:rPr>
          <w:rFonts w:ascii="Times New Roman" w:eastAsia="Times New Roman" w:hAnsi="Times New Roman" w:cs="Times New Roman"/>
          <w:kern w:val="0"/>
          <w14:ligatures w14:val="none"/>
        </w:rPr>
        <w:t xml:space="preserve"> Mondial de Cobalt, </w:t>
      </w:r>
      <w:proofErr w:type="spellStart"/>
      <w:r w:rsidRPr="005F4E8C">
        <w:rPr>
          <w:rFonts w:ascii="Times New Roman" w:eastAsia="Times New Roman" w:hAnsi="Times New Roman" w:cs="Times New Roman"/>
          <w:kern w:val="0"/>
          <w14:ligatures w14:val="none"/>
        </w:rPr>
        <w:t>Instaure</w:t>
      </w:r>
      <w:proofErr w:type="spellEnd"/>
      <w:r w:rsidRPr="005F4E8C">
        <w:rPr>
          <w:rFonts w:ascii="Times New Roman" w:eastAsia="Times New Roman" w:hAnsi="Times New Roman" w:cs="Times New Roman"/>
          <w:kern w:val="0"/>
          <w14:ligatures w14:val="none"/>
        </w:rPr>
        <w:t xml:space="preserve"> Des Quotas Sur Son Exportation.” Le Monde.fr. Le Monde. September 25, 2025. </w:t>
      </w:r>
      <w:hyperlink r:id="rId10" w:history="1">
        <w:r w:rsidR="00DA5219" w:rsidRPr="005F4E8C">
          <w:rPr>
            <w:rStyle w:val="Hyperlink"/>
            <w:rFonts w:ascii="Times New Roman" w:eastAsia="Times New Roman" w:hAnsi="Times New Roman" w:cs="Times New Roman"/>
            <w:kern w:val="0"/>
            <w14:ligatures w14:val="none"/>
          </w:rPr>
          <w:t>https://www.lemonde.fr/afrique/article/2025/09/25/premier-producteur-mondial-de-cobalt-la-rdc-instaure-des-quotas-sur-son-exportation_6642952_3212.html</w:t>
        </w:r>
      </w:hyperlink>
      <w:r w:rsidRPr="005F4E8C">
        <w:rPr>
          <w:rFonts w:ascii="Times New Roman" w:eastAsia="Times New Roman" w:hAnsi="Times New Roman" w:cs="Times New Roman"/>
          <w:kern w:val="0"/>
          <w14:ligatures w14:val="none"/>
        </w:rPr>
        <w:t>.</w:t>
      </w:r>
    </w:p>
    <w:p w14:paraId="510259FF" w14:textId="77777777" w:rsidR="00DA5219" w:rsidRPr="005F4E8C" w:rsidRDefault="00DA5219" w:rsidP="005F4E8C">
      <w:pPr>
        <w:spacing w:after="0" w:line="360" w:lineRule="auto"/>
        <w:ind w:left="720" w:hanging="720"/>
        <w:rPr>
          <w:rFonts w:ascii="Times New Roman" w:eastAsia="Times New Roman" w:hAnsi="Times New Roman" w:cs="Times New Roman"/>
          <w:kern w:val="0"/>
          <w14:ligatures w14:val="none"/>
        </w:rPr>
      </w:pPr>
    </w:p>
    <w:p w14:paraId="1B5EE957" w14:textId="73BC6865" w:rsidR="005F4E8C" w:rsidRDefault="005F4E8C" w:rsidP="005F4E8C">
      <w:pPr>
        <w:spacing w:after="0" w:line="360" w:lineRule="auto"/>
        <w:ind w:left="720" w:hanging="720"/>
        <w:rPr>
          <w:rFonts w:ascii="Times New Roman" w:eastAsia="Times New Roman" w:hAnsi="Times New Roman" w:cs="Times New Roman"/>
          <w:kern w:val="0"/>
          <w14:ligatures w14:val="none"/>
        </w:rPr>
      </w:pPr>
      <w:r w:rsidRPr="005F4E8C">
        <w:rPr>
          <w:rFonts w:ascii="Times New Roman" w:eastAsia="Times New Roman" w:hAnsi="Times New Roman" w:cs="Times New Roman"/>
          <w:kern w:val="0"/>
          <w14:ligatures w14:val="none"/>
        </w:rPr>
        <w:t xml:space="preserve">IEA. 2021. “The Role of Critical Minerals in Clean Energy Transitions – Analysis.” IEA. May 2021. </w:t>
      </w:r>
      <w:hyperlink r:id="rId11" w:history="1">
        <w:r w:rsidR="00DA5219" w:rsidRPr="005F4E8C">
          <w:rPr>
            <w:rStyle w:val="Hyperlink"/>
            <w:rFonts w:ascii="Times New Roman" w:eastAsia="Times New Roman" w:hAnsi="Times New Roman" w:cs="Times New Roman"/>
            <w:kern w:val="0"/>
            <w14:ligatures w14:val="none"/>
          </w:rPr>
          <w:t>https://www.iea.org/reports/the-role-of-critical-minerals-in-clean-energy-transitions</w:t>
        </w:r>
      </w:hyperlink>
      <w:r w:rsidRPr="005F4E8C">
        <w:rPr>
          <w:rFonts w:ascii="Times New Roman" w:eastAsia="Times New Roman" w:hAnsi="Times New Roman" w:cs="Times New Roman"/>
          <w:kern w:val="0"/>
          <w14:ligatures w14:val="none"/>
        </w:rPr>
        <w:t>.</w:t>
      </w:r>
    </w:p>
    <w:p w14:paraId="34E65942" w14:textId="77777777" w:rsidR="00DA5219" w:rsidRPr="005F4E8C" w:rsidRDefault="00DA5219" w:rsidP="005F4E8C">
      <w:pPr>
        <w:spacing w:after="0" w:line="360" w:lineRule="auto"/>
        <w:ind w:left="720" w:hanging="720"/>
        <w:rPr>
          <w:rFonts w:ascii="Times New Roman" w:eastAsia="Times New Roman" w:hAnsi="Times New Roman" w:cs="Times New Roman"/>
          <w:kern w:val="0"/>
          <w14:ligatures w14:val="none"/>
        </w:rPr>
      </w:pPr>
    </w:p>
    <w:p w14:paraId="232A641B" w14:textId="7F528E32" w:rsidR="005F4E8C" w:rsidRDefault="005F4E8C" w:rsidP="005F4E8C">
      <w:pPr>
        <w:spacing w:after="0" w:line="360" w:lineRule="auto"/>
        <w:ind w:left="720" w:hanging="720"/>
        <w:rPr>
          <w:rFonts w:ascii="Times New Roman" w:eastAsia="Times New Roman" w:hAnsi="Times New Roman" w:cs="Times New Roman"/>
          <w:kern w:val="0"/>
          <w14:ligatures w14:val="none"/>
        </w:rPr>
      </w:pPr>
      <w:r w:rsidRPr="005F4E8C">
        <w:rPr>
          <w:rFonts w:ascii="Times New Roman" w:eastAsia="Times New Roman" w:hAnsi="Times New Roman" w:cs="Times New Roman"/>
          <w:kern w:val="0"/>
          <w14:ligatures w14:val="none"/>
        </w:rPr>
        <w:lastRenderedPageBreak/>
        <w:t xml:space="preserve">Kim, Dr </w:t>
      </w:r>
      <w:proofErr w:type="gramStart"/>
      <w:r w:rsidRPr="005F4E8C">
        <w:rPr>
          <w:rFonts w:ascii="Times New Roman" w:eastAsia="Times New Roman" w:hAnsi="Times New Roman" w:cs="Times New Roman"/>
          <w:kern w:val="0"/>
          <w14:ligatures w14:val="none"/>
        </w:rPr>
        <w:t>James ,</w:t>
      </w:r>
      <w:proofErr w:type="gramEnd"/>
      <w:r w:rsidRPr="005F4E8C">
        <w:rPr>
          <w:rFonts w:ascii="Times New Roman" w:eastAsia="Times New Roman" w:hAnsi="Times New Roman" w:cs="Times New Roman"/>
          <w:kern w:val="0"/>
          <w14:ligatures w14:val="none"/>
        </w:rPr>
        <w:t xml:space="preserve"> and Dr Herman Gibb. n.d. “Cobalt and Inorganic Cobalt Compounds (CICADS 69, 2006).” Inchem.org. </w:t>
      </w:r>
      <w:hyperlink r:id="rId12" w:history="1">
        <w:r w:rsidR="00DA5219" w:rsidRPr="005F4E8C">
          <w:rPr>
            <w:rStyle w:val="Hyperlink"/>
            <w:rFonts w:ascii="Times New Roman" w:eastAsia="Times New Roman" w:hAnsi="Times New Roman" w:cs="Times New Roman"/>
            <w:kern w:val="0"/>
            <w14:ligatures w14:val="none"/>
          </w:rPr>
          <w:t>https://inchem.org/documents/cicads/cicads/cicad69.htm</w:t>
        </w:r>
      </w:hyperlink>
      <w:r w:rsidRPr="005F4E8C">
        <w:rPr>
          <w:rFonts w:ascii="Times New Roman" w:eastAsia="Times New Roman" w:hAnsi="Times New Roman" w:cs="Times New Roman"/>
          <w:kern w:val="0"/>
          <w14:ligatures w14:val="none"/>
        </w:rPr>
        <w:t>.</w:t>
      </w:r>
    </w:p>
    <w:p w14:paraId="34729E94" w14:textId="77777777" w:rsidR="00DA5219" w:rsidRPr="005F4E8C" w:rsidRDefault="00DA5219" w:rsidP="005F4E8C">
      <w:pPr>
        <w:spacing w:after="0" w:line="360" w:lineRule="auto"/>
        <w:ind w:left="720" w:hanging="720"/>
        <w:rPr>
          <w:rFonts w:ascii="Times New Roman" w:eastAsia="Times New Roman" w:hAnsi="Times New Roman" w:cs="Times New Roman"/>
          <w:kern w:val="0"/>
          <w14:ligatures w14:val="none"/>
        </w:rPr>
      </w:pPr>
    </w:p>
    <w:p w14:paraId="2C4F2DCF" w14:textId="65F25410" w:rsidR="005F4E8C" w:rsidRDefault="005F4E8C" w:rsidP="005F4E8C">
      <w:pPr>
        <w:spacing w:after="0" w:line="360" w:lineRule="auto"/>
        <w:ind w:left="720" w:hanging="720"/>
        <w:rPr>
          <w:rFonts w:ascii="Times New Roman" w:eastAsia="Times New Roman" w:hAnsi="Times New Roman" w:cs="Times New Roman"/>
          <w:kern w:val="0"/>
          <w14:ligatures w14:val="none"/>
        </w:rPr>
      </w:pPr>
      <w:r w:rsidRPr="005F4E8C">
        <w:rPr>
          <w:rFonts w:ascii="Times New Roman" w:eastAsia="Times New Roman" w:hAnsi="Times New Roman" w:cs="Times New Roman"/>
          <w:kern w:val="0"/>
          <w14:ligatures w14:val="none"/>
        </w:rPr>
        <w:t xml:space="preserve">Reuters Staff. 2025. “Congo to Replace Cobalt Export Ban with Quotas from Oct 16.” </w:t>
      </w:r>
      <w:r w:rsidRPr="005F4E8C">
        <w:rPr>
          <w:rFonts w:ascii="Times New Roman" w:eastAsia="Times New Roman" w:hAnsi="Times New Roman" w:cs="Times New Roman"/>
          <w:i/>
          <w:iCs/>
          <w:kern w:val="0"/>
          <w14:ligatures w14:val="none"/>
        </w:rPr>
        <w:t>Reuters</w:t>
      </w:r>
      <w:r w:rsidRPr="005F4E8C">
        <w:rPr>
          <w:rFonts w:ascii="Times New Roman" w:eastAsia="Times New Roman" w:hAnsi="Times New Roman" w:cs="Times New Roman"/>
          <w:kern w:val="0"/>
          <w14:ligatures w14:val="none"/>
        </w:rPr>
        <w:t xml:space="preserve">, September 22, 2025. </w:t>
      </w:r>
      <w:hyperlink r:id="rId13" w:history="1">
        <w:r w:rsidR="00DA5219" w:rsidRPr="005F4E8C">
          <w:rPr>
            <w:rStyle w:val="Hyperlink"/>
            <w:rFonts w:ascii="Times New Roman" w:eastAsia="Times New Roman" w:hAnsi="Times New Roman" w:cs="Times New Roman"/>
            <w:kern w:val="0"/>
            <w14:ligatures w14:val="none"/>
          </w:rPr>
          <w:t>https://www.reuters.com/world/africa/congo-replace-cobalt-export-ban-with-quotas-oct-16-2025-09-21/</w:t>
        </w:r>
      </w:hyperlink>
      <w:r w:rsidRPr="005F4E8C">
        <w:rPr>
          <w:rFonts w:ascii="Times New Roman" w:eastAsia="Times New Roman" w:hAnsi="Times New Roman" w:cs="Times New Roman"/>
          <w:kern w:val="0"/>
          <w14:ligatures w14:val="none"/>
        </w:rPr>
        <w:t>.</w:t>
      </w:r>
    </w:p>
    <w:p w14:paraId="693C1F29" w14:textId="77777777" w:rsidR="00DA5219" w:rsidRPr="005F4E8C" w:rsidRDefault="00DA5219" w:rsidP="005F4E8C">
      <w:pPr>
        <w:spacing w:after="0" w:line="360" w:lineRule="auto"/>
        <w:ind w:left="720" w:hanging="720"/>
        <w:rPr>
          <w:rFonts w:ascii="Times New Roman" w:eastAsia="Times New Roman" w:hAnsi="Times New Roman" w:cs="Times New Roman"/>
          <w:kern w:val="0"/>
          <w14:ligatures w14:val="none"/>
        </w:rPr>
      </w:pPr>
    </w:p>
    <w:p w14:paraId="749D3B68" w14:textId="316DD220" w:rsidR="005F4E8C" w:rsidRDefault="005F4E8C" w:rsidP="005F4E8C">
      <w:pPr>
        <w:spacing w:after="0" w:line="360" w:lineRule="auto"/>
        <w:ind w:left="720" w:hanging="720"/>
        <w:rPr>
          <w:rFonts w:ascii="Times New Roman" w:eastAsia="Times New Roman" w:hAnsi="Times New Roman" w:cs="Times New Roman"/>
          <w:kern w:val="0"/>
          <w14:ligatures w14:val="none"/>
        </w:rPr>
      </w:pPr>
      <w:r w:rsidRPr="005F4E8C">
        <w:rPr>
          <w:rFonts w:ascii="Times New Roman" w:eastAsia="Times New Roman" w:hAnsi="Times New Roman" w:cs="Times New Roman"/>
          <w:kern w:val="0"/>
          <w14:ligatures w14:val="none"/>
        </w:rPr>
        <w:t xml:space="preserve">“Sustainability Rules for Batteries and Waste Batteries | EUR-Lex.” n.d. Eur-Lex.europa.eu. </w:t>
      </w:r>
      <w:hyperlink r:id="rId14" w:history="1">
        <w:r w:rsidR="00DA5219" w:rsidRPr="005F4E8C">
          <w:rPr>
            <w:rStyle w:val="Hyperlink"/>
            <w:rFonts w:ascii="Times New Roman" w:eastAsia="Times New Roman" w:hAnsi="Times New Roman" w:cs="Times New Roman"/>
            <w:kern w:val="0"/>
            <w14:ligatures w14:val="none"/>
          </w:rPr>
          <w:t>https://eur-lex.europa.eu/EN/legal-content/summary/sustainability-rules-for-batteries-and-waste-batteries.html</w:t>
        </w:r>
      </w:hyperlink>
      <w:r w:rsidRPr="005F4E8C">
        <w:rPr>
          <w:rFonts w:ascii="Times New Roman" w:eastAsia="Times New Roman" w:hAnsi="Times New Roman" w:cs="Times New Roman"/>
          <w:kern w:val="0"/>
          <w14:ligatures w14:val="none"/>
        </w:rPr>
        <w:t>.</w:t>
      </w:r>
    </w:p>
    <w:p w14:paraId="4F114CFF" w14:textId="77777777" w:rsidR="00DA5219" w:rsidRPr="005F4E8C" w:rsidRDefault="00DA5219" w:rsidP="005F4E8C">
      <w:pPr>
        <w:spacing w:after="0" w:line="360" w:lineRule="auto"/>
        <w:ind w:left="720" w:hanging="720"/>
        <w:rPr>
          <w:rFonts w:ascii="Times New Roman" w:eastAsia="Times New Roman" w:hAnsi="Times New Roman" w:cs="Times New Roman"/>
          <w:kern w:val="0"/>
          <w14:ligatures w14:val="none"/>
        </w:rPr>
      </w:pPr>
    </w:p>
    <w:p w14:paraId="4EFD037C" w14:textId="22C11F2E" w:rsidR="005F4E8C" w:rsidRDefault="005F4E8C" w:rsidP="005F4E8C">
      <w:pPr>
        <w:spacing w:after="0" w:line="360" w:lineRule="auto"/>
        <w:ind w:left="720" w:hanging="720"/>
        <w:rPr>
          <w:rFonts w:ascii="Times New Roman" w:eastAsia="Times New Roman" w:hAnsi="Times New Roman" w:cs="Times New Roman"/>
          <w:kern w:val="0"/>
          <w14:ligatures w14:val="none"/>
        </w:rPr>
      </w:pPr>
      <w:r w:rsidRPr="005F4E8C">
        <w:rPr>
          <w:rFonts w:ascii="Times New Roman" w:eastAsia="Times New Roman" w:hAnsi="Times New Roman" w:cs="Times New Roman"/>
          <w:kern w:val="0"/>
          <w14:ligatures w14:val="none"/>
        </w:rPr>
        <w:t xml:space="preserve">Swash, Rosie. 2024. “‘Staggering’ Rise in Women with Reproductive Health Issues near DRC Cobalt Mines – Study.” </w:t>
      </w:r>
      <w:r w:rsidRPr="005F4E8C">
        <w:rPr>
          <w:rFonts w:ascii="Times New Roman" w:eastAsia="Times New Roman" w:hAnsi="Times New Roman" w:cs="Times New Roman"/>
          <w:i/>
          <w:iCs/>
          <w:kern w:val="0"/>
          <w14:ligatures w14:val="none"/>
        </w:rPr>
        <w:t>The Guardian</w:t>
      </w:r>
      <w:r w:rsidRPr="005F4E8C">
        <w:rPr>
          <w:rFonts w:ascii="Times New Roman" w:eastAsia="Times New Roman" w:hAnsi="Times New Roman" w:cs="Times New Roman"/>
          <w:kern w:val="0"/>
          <w14:ligatures w14:val="none"/>
        </w:rPr>
        <w:t xml:space="preserve">, March 28, 2024, sec. Global development. </w:t>
      </w:r>
      <w:hyperlink r:id="rId15" w:history="1">
        <w:r w:rsidR="00DA5219" w:rsidRPr="005F4E8C">
          <w:rPr>
            <w:rStyle w:val="Hyperlink"/>
            <w:rFonts w:ascii="Times New Roman" w:eastAsia="Times New Roman" w:hAnsi="Times New Roman" w:cs="Times New Roman"/>
            <w:kern w:val="0"/>
            <w14:ligatures w14:val="none"/>
          </w:rPr>
          <w:t>https://www.theguardian.com/global-development/2024/mar/28/staggering-rise-in-women-with-reproductive-health-issues-near-drc-cobalt-mines-study</w:t>
        </w:r>
      </w:hyperlink>
      <w:r w:rsidRPr="005F4E8C">
        <w:rPr>
          <w:rFonts w:ascii="Times New Roman" w:eastAsia="Times New Roman" w:hAnsi="Times New Roman" w:cs="Times New Roman"/>
          <w:kern w:val="0"/>
          <w14:ligatures w14:val="none"/>
        </w:rPr>
        <w:t>.</w:t>
      </w:r>
    </w:p>
    <w:p w14:paraId="66600E1C" w14:textId="77777777" w:rsidR="00DA5219" w:rsidRPr="005F4E8C" w:rsidRDefault="00DA5219" w:rsidP="005F4E8C">
      <w:pPr>
        <w:spacing w:after="0" w:line="360" w:lineRule="auto"/>
        <w:ind w:left="720" w:hanging="720"/>
        <w:rPr>
          <w:rFonts w:ascii="Times New Roman" w:eastAsia="Times New Roman" w:hAnsi="Times New Roman" w:cs="Times New Roman"/>
          <w:kern w:val="0"/>
          <w14:ligatures w14:val="none"/>
        </w:rPr>
      </w:pPr>
    </w:p>
    <w:p w14:paraId="504EA8A8" w14:textId="5064ED2F" w:rsidR="00DA5219" w:rsidRDefault="005F4E8C" w:rsidP="00DA5219">
      <w:pPr>
        <w:spacing w:after="0" w:line="360" w:lineRule="auto"/>
        <w:ind w:left="720" w:hanging="720"/>
        <w:rPr>
          <w:rFonts w:ascii="Times New Roman" w:eastAsia="Times New Roman" w:hAnsi="Times New Roman" w:cs="Times New Roman"/>
          <w:kern w:val="0"/>
          <w14:ligatures w14:val="none"/>
        </w:rPr>
      </w:pPr>
      <w:r w:rsidRPr="005F4E8C">
        <w:rPr>
          <w:rFonts w:ascii="Times New Roman" w:eastAsia="Times New Roman" w:hAnsi="Times New Roman" w:cs="Times New Roman"/>
          <w:kern w:val="0"/>
          <w14:ligatures w14:val="none"/>
        </w:rPr>
        <w:t xml:space="preserve">World Bank. 2021. “COBALT in the DEMOCRATIC REPUBLIC of CONGO.” World Bank. </w:t>
      </w:r>
      <w:hyperlink r:id="rId16" w:history="1">
        <w:r w:rsidR="00DA5219" w:rsidRPr="005F4E8C">
          <w:rPr>
            <w:rStyle w:val="Hyperlink"/>
            <w:rFonts w:ascii="Times New Roman" w:eastAsia="Times New Roman" w:hAnsi="Times New Roman" w:cs="Times New Roman"/>
            <w:kern w:val="0"/>
            <w14:ligatures w14:val="none"/>
          </w:rPr>
          <w:t>https://documents1.worldbank.org/curated/en/099500001312236438/pdf/P1723770a0f570093092050c1bddd6a29df.pdf</w:t>
        </w:r>
      </w:hyperlink>
      <w:r w:rsidRPr="005F4E8C">
        <w:rPr>
          <w:rFonts w:ascii="Times New Roman" w:eastAsia="Times New Roman" w:hAnsi="Times New Roman" w:cs="Times New Roman"/>
          <w:kern w:val="0"/>
          <w14:ligatures w14:val="none"/>
        </w:rPr>
        <w:t>.</w:t>
      </w:r>
    </w:p>
    <w:p w14:paraId="6D8A048E" w14:textId="77777777" w:rsidR="00DA5219" w:rsidRPr="005F4E8C" w:rsidRDefault="00DA5219" w:rsidP="00DA5219">
      <w:pPr>
        <w:spacing w:after="0" w:line="360" w:lineRule="auto"/>
        <w:ind w:left="720" w:hanging="720"/>
        <w:rPr>
          <w:rFonts w:ascii="Times New Roman" w:eastAsia="Times New Roman" w:hAnsi="Times New Roman" w:cs="Times New Roman"/>
          <w:kern w:val="0"/>
          <w14:ligatures w14:val="none"/>
        </w:rPr>
      </w:pPr>
    </w:p>
    <w:p w14:paraId="4CBA4406" w14:textId="77777777" w:rsidR="005F4E8C" w:rsidRPr="005735AD" w:rsidRDefault="005F4E8C" w:rsidP="005735AD">
      <w:pPr>
        <w:spacing w:line="360" w:lineRule="auto"/>
        <w:rPr>
          <w:rFonts w:ascii="Times New Roman" w:hAnsi="Times New Roman" w:cs="Times New Roman"/>
        </w:rPr>
      </w:pPr>
    </w:p>
    <w:sectPr w:rsidR="005F4E8C" w:rsidRPr="00573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721"/>
    <w:rsid w:val="0007647B"/>
    <w:rsid w:val="001F3AEA"/>
    <w:rsid w:val="00202EB4"/>
    <w:rsid w:val="002233FC"/>
    <w:rsid w:val="00231F53"/>
    <w:rsid w:val="002B3F8F"/>
    <w:rsid w:val="002B5255"/>
    <w:rsid w:val="002C5F6D"/>
    <w:rsid w:val="003120F2"/>
    <w:rsid w:val="003D47EB"/>
    <w:rsid w:val="004643EE"/>
    <w:rsid w:val="004C0D39"/>
    <w:rsid w:val="004E5A0A"/>
    <w:rsid w:val="00563CBE"/>
    <w:rsid w:val="005735AD"/>
    <w:rsid w:val="0059729E"/>
    <w:rsid w:val="005B2AD3"/>
    <w:rsid w:val="005F4E8C"/>
    <w:rsid w:val="006562C5"/>
    <w:rsid w:val="00667389"/>
    <w:rsid w:val="006A6845"/>
    <w:rsid w:val="006C6FAB"/>
    <w:rsid w:val="007611BA"/>
    <w:rsid w:val="007D50F1"/>
    <w:rsid w:val="0081292F"/>
    <w:rsid w:val="00845C41"/>
    <w:rsid w:val="00852E16"/>
    <w:rsid w:val="00876DEC"/>
    <w:rsid w:val="008C1C18"/>
    <w:rsid w:val="009D1A9C"/>
    <w:rsid w:val="00A50259"/>
    <w:rsid w:val="00A94D01"/>
    <w:rsid w:val="00A97B35"/>
    <w:rsid w:val="00AB2721"/>
    <w:rsid w:val="00C6094A"/>
    <w:rsid w:val="00CC7457"/>
    <w:rsid w:val="00CD0FF9"/>
    <w:rsid w:val="00DA5219"/>
    <w:rsid w:val="00DB2191"/>
    <w:rsid w:val="00E02483"/>
    <w:rsid w:val="00E03149"/>
    <w:rsid w:val="00E4319F"/>
    <w:rsid w:val="00EC5CE8"/>
    <w:rsid w:val="00F726FA"/>
    <w:rsid w:val="33ACEDE5"/>
    <w:rsid w:val="736EC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40F1F"/>
  <w15:chartTrackingRefBased/>
  <w15:docId w15:val="{92188065-E8A9-4A16-906C-59C05D7E2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7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7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7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7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7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721"/>
    <w:rPr>
      <w:rFonts w:eastAsiaTheme="majorEastAsia" w:cstheme="majorBidi"/>
      <w:color w:val="272727" w:themeColor="text1" w:themeTint="D8"/>
    </w:rPr>
  </w:style>
  <w:style w:type="paragraph" w:styleId="Title">
    <w:name w:val="Title"/>
    <w:basedOn w:val="Normal"/>
    <w:next w:val="Normal"/>
    <w:link w:val="TitleChar"/>
    <w:uiPriority w:val="10"/>
    <w:qFormat/>
    <w:rsid w:val="00AB2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721"/>
    <w:pPr>
      <w:spacing w:before="160"/>
      <w:jc w:val="center"/>
    </w:pPr>
    <w:rPr>
      <w:i/>
      <w:iCs/>
      <w:color w:val="404040" w:themeColor="text1" w:themeTint="BF"/>
    </w:rPr>
  </w:style>
  <w:style w:type="character" w:customStyle="1" w:styleId="QuoteChar">
    <w:name w:val="Quote Char"/>
    <w:basedOn w:val="DefaultParagraphFont"/>
    <w:link w:val="Quote"/>
    <w:uiPriority w:val="29"/>
    <w:rsid w:val="00AB2721"/>
    <w:rPr>
      <w:i/>
      <w:iCs/>
      <w:color w:val="404040" w:themeColor="text1" w:themeTint="BF"/>
    </w:rPr>
  </w:style>
  <w:style w:type="paragraph" w:styleId="ListParagraph">
    <w:name w:val="List Paragraph"/>
    <w:basedOn w:val="Normal"/>
    <w:uiPriority w:val="34"/>
    <w:qFormat/>
    <w:rsid w:val="00AB2721"/>
    <w:pPr>
      <w:ind w:left="720"/>
      <w:contextualSpacing/>
    </w:pPr>
  </w:style>
  <w:style w:type="character" w:styleId="IntenseEmphasis">
    <w:name w:val="Intense Emphasis"/>
    <w:basedOn w:val="DefaultParagraphFont"/>
    <w:uiPriority w:val="21"/>
    <w:qFormat/>
    <w:rsid w:val="00AB2721"/>
    <w:rPr>
      <w:i/>
      <w:iCs/>
      <w:color w:val="0F4761" w:themeColor="accent1" w:themeShade="BF"/>
    </w:rPr>
  </w:style>
  <w:style w:type="paragraph" w:styleId="IntenseQuote">
    <w:name w:val="Intense Quote"/>
    <w:basedOn w:val="Normal"/>
    <w:next w:val="Normal"/>
    <w:link w:val="IntenseQuoteChar"/>
    <w:uiPriority w:val="30"/>
    <w:qFormat/>
    <w:rsid w:val="00AB2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721"/>
    <w:rPr>
      <w:i/>
      <w:iCs/>
      <w:color w:val="0F4761" w:themeColor="accent1" w:themeShade="BF"/>
    </w:rPr>
  </w:style>
  <w:style w:type="character" w:styleId="IntenseReference">
    <w:name w:val="Intense Reference"/>
    <w:basedOn w:val="DefaultParagraphFont"/>
    <w:uiPriority w:val="32"/>
    <w:qFormat/>
    <w:rsid w:val="00AB2721"/>
    <w:rPr>
      <w:b/>
      <w:bCs/>
      <w:smallCaps/>
      <w:color w:val="0F4761" w:themeColor="accent1" w:themeShade="BF"/>
      <w:spacing w:val="5"/>
    </w:rPr>
  </w:style>
  <w:style w:type="character" w:styleId="Hyperlink">
    <w:name w:val="Hyperlink"/>
    <w:basedOn w:val="DefaultParagraphFont"/>
    <w:uiPriority w:val="99"/>
    <w:unhideWhenUsed/>
    <w:rsid w:val="00AB2721"/>
    <w:rPr>
      <w:color w:val="467886" w:themeColor="hyperlink"/>
      <w:u w:val="single"/>
    </w:rPr>
  </w:style>
  <w:style w:type="character" w:styleId="UnresolvedMention">
    <w:name w:val="Unresolved Mention"/>
    <w:basedOn w:val="DefaultParagraphFont"/>
    <w:uiPriority w:val="99"/>
    <w:semiHidden/>
    <w:unhideWhenUsed/>
    <w:rsid w:val="00AB2721"/>
    <w:rPr>
      <w:color w:val="605E5C"/>
      <w:shd w:val="clear" w:color="auto" w:fill="E1DFDD"/>
    </w:rPr>
  </w:style>
  <w:style w:type="character" w:styleId="PlaceholderText">
    <w:name w:val="Placeholder Text"/>
    <w:basedOn w:val="DefaultParagraphFont"/>
    <w:uiPriority w:val="99"/>
    <w:semiHidden/>
    <w:rsid w:val="001F3AEA"/>
    <w:rPr>
      <w:color w:val="666666"/>
    </w:rPr>
  </w:style>
  <w:style w:type="character" w:styleId="FollowedHyperlink">
    <w:name w:val="FollowedHyperlink"/>
    <w:basedOn w:val="DefaultParagraphFont"/>
    <w:uiPriority w:val="99"/>
    <w:semiHidden/>
    <w:unhideWhenUsed/>
    <w:rsid w:val="008C1C18"/>
    <w:rPr>
      <w:color w:val="96607D" w:themeColor="followedHyperlink"/>
      <w:u w:val="single"/>
    </w:rPr>
  </w:style>
  <w:style w:type="paragraph" w:styleId="NormalWeb">
    <w:name w:val="Normal (Web)"/>
    <w:basedOn w:val="Normal"/>
    <w:uiPriority w:val="99"/>
    <w:semiHidden/>
    <w:unhideWhenUsed/>
    <w:rsid w:val="005F4E8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ircobaltalliance.org/child-labour-remediation/" TargetMode="External"/><Relationship Id="rId13" Type="http://schemas.openxmlformats.org/officeDocument/2006/relationships/hyperlink" Target="https://www.reuters.com/world/africa/congo-replace-cobalt-export-ban-with-quotas-oct-16-2025-09-21/"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hyperlink" Target="https://www.amnesty.org/en/documents/afr62/3183/2016/en/" TargetMode="External"/><Relationship Id="rId12" Type="http://schemas.openxmlformats.org/officeDocument/2006/relationships/hyperlink" Target="https://inchem.org/documents/cicads/cicads/cicad69.ht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cuments1.worldbank.org/curated/en/099500001312236438/pdf/P1723770a0f570093092050c1bddd6a29df.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ea.org/reports/the-role-of-critical-minerals-in-clean-energy-transitions" TargetMode="External"/><Relationship Id="rId5" Type="http://schemas.openxmlformats.org/officeDocument/2006/relationships/settings" Target="settings.xml"/><Relationship Id="rId15" Type="http://schemas.openxmlformats.org/officeDocument/2006/relationships/hyperlink" Target="https://www.theguardian.com/global-development/2024/mar/28/staggering-rise-in-women-with-reproductive-health-issues-near-drc-cobalt-mines-study" TargetMode="External"/><Relationship Id="rId10" Type="http://schemas.openxmlformats.org/officeDocument/2006/relationships/hyperlink" Target="https://www.lemonde.fr/afrique/article/2025/09/25/premier-producteur-mondial-de-cobalt-la-rdc-instaure-des-quotas-sur-son-exportation_6642952_3212.html"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www.iea.org/energy-system/industry/critical-minerals" TargetMode="External"/><Relationship Id="rId14" Type="http://schemas.openxmlformats.org/officeDocument/2006/relationships/hyperlink" Target="https://eur-lex.europa.eu/EN/legal-content/summary/sustainability-rules-for-batteries-and-waste-batteries.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B6173CC-E50C-4F79-A668-5D95B735CC0B}"/>
      </w:docPartPr>
      <w:docPartBody>
        <w:p w:rsidR="00A0373A" w:rsidRDefault="00A0373A">
          <w:r w:rsidRPr="00A0044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73A"/>
    <w:rsid w:val="002F0510"/>
    <w:rsid w:val="00563CBE"/>
    <w:rsid w:val="006562C5"/>
    <w:rsid w:val="00A0373A"/>
    <w:rsid w:val="00CD0FF9"/>
    <w:rsid w:val="00F726FA"/>
    <w:rsid w:val="00FF2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373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76CC7B-E4C2-42D1-AE59-8C840D982FC5}">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363E765845B8C4887DDB2F153C11894" ma:contentTypeVersion="13" ma:contentTypeDescription="Create a new document." ma:contentTypeScope="" ma:versionID="1bbeffa795a9f9a87e7b430b840f4796">
  <xsd:schema xmlns:xsd="http://www.w3.org/2001/XMLSchema" xmlns:xs="http://www.w3.org/2001/XMLSchema" xmlns:p="http://schemas.microsoft.com/office/2006/metadata/properties" xmlns:ns3="60c883ef-59bf-48f8-83bf-899cfe9f4ab5" xmlns:ns4="9371e0c8-bdb9-4f1a-9b01-776a70ced85a" targetNamespace="http://schemas.microsoft.com/office/2006/metadata/properties" ma:root="true" ma:fieldsID="a9eeef8bd0e3e390286788174792b87a" ns3:_="" ns4:_="">
    <xsd:import namespace="60c883ef-59bf-48f8-83bf-899cfe9f4ab5"/>
    <xsd:import namespace="9371e0c8-bdb9-4f1a-9b01-776a70ced85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c883ef-59bf-48f8-83bf-899cfe9f4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371e0c8-bdb9-4f1a-9b01-776a70ced85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0c883ef-59bf-48f8-83bf-899cfe9f4ab5" xsi:nil="true"/>
  </documentManagement>
</p:properties>
</file>

<file path=customXml/itemProps1.xml><?xml version="1.0" encoding="utf-8"?>
<ds:datastoreItem xmlns:ds="http://schemas.openxmlformats.org/officeDocument/2006/customXml" ds:itemID="{1DC66BA4-9752-42D4-A9FA-E0F3C85B7FE8}">
  <ds:schemaRefs>
    <ds:schemaRef ds:uri="http://schemas.microsoft.com/sharepoint/v3/contenttype/forms"/>
  </ds:schemaRefs>
</ds:datastoreItem>
</file>

<file path=customXml/itemProps2.xml><?xml version="1.0" encoding="utf-8"?>
<ds:datastoreItem xmlns:ds="http://schemas.openxmlformats.org/officeDocument/2006/customXml" ds:itemID="{4C2E3E2D-389F-4EC4-A3F7-92BE34E758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c883ef-59bf-48f8-83bf-899cfe9f4ab5"/>
    <ds:schemaRef ds:uri="9371e0c8-bdb9-4f1a-9b01-776a70ced8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AD2C5A-5E68-43C0-9E35-454E5251F63D}">
  <ds:schemaRefs>
    <ds:schemaRef ds:uri="http://schemas.microsoft.com/office/2006/metadata/properties"/>
    <ds:schemaRef ds:uri="http://schemas.microsoft.com/office/infopath/2007/PartnerControls"/>
    <ds:schemaRef ds:uri="60c883ef-59bf-48f8-83bf-899cfe9f4ab5"/>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1979</Words>
  <Characters>12850</Characters>
  <Application>Microsoft Office Word</Application>
  <DocSecurity>0</DocSecurity>
  <Lines>185</Lines>
  <Paragraphs>26</Paragraphs>
  <ScaleCrop>false</ScaleCrop>
  <Company/>
  <LinksUpToDate>false</LinksUpToDate>
  <CharactersWithSpaces>14814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Stein, Skyler Aston</dc:creator>
  <cp:keywords/>
  <dc:description/>
  <cp:lastModifiedBy>Stein, Skyler Aston</cp:lastModifiedBy>
  <cp:revision>3</cp:revision>
  <dcterms:created xsi:type="dcterms:W3CDTF">2025-12-24T22:05:00Z</dcterms:created>
  <dcterms:modified xsi:type="dcterms:W3CDTF">2025-12-25T19:59:00Z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0x0101007363E765845B8C4887DDB2F153C11894</vt:lpwstr>
  </property>
  <property fmtid="{D5CDD505-2E9C-101B-9397-08002B2CF9AE}" pid="3" name="TII_WORD_DOCUMENT_FILENAME">
    <vt:lpwstr>Cobalt and Capitalism First Draft.docx</vt:lpwstr>
  </property>
  <property fmtid="{D5CDD505-2E9C-101B-9397-08002B2CF9AE}" pid="4" name="TII_WORD_DOCUMENT_ID">
    <vt:lpwstr>e245ae66-82bb-48a8-b6fc-286216c1367f</vt:lpwstr>
  </property>
  <property fmtid="{D5CDD505-2E9C-101B-9397-08002B2CF9AE}" pid="5" name="TII_WORD_DOCUMENT_HASH">
    <vt:lpwstr>4e65ee76377dcad3245642384ee063add3d16c7545be75f05bb13cab5766f682</vt:lpwstr>
  </property>
</Properties>
</file>