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The Trump Trade Agenda Is Rebuilding American Industry. It Cannot Stop at the Foundation.</w:t>
      </w:r>
    </w:p>
    <w:p>
      <w:r>
        <w:rPr>
          <w:i/>
        </w:rPr>
        <w:t>By: Brig. Gen. John Teichert, U.S. Air Force (ret.)</w:t>
      </w:r>
    </w:p>
    <w:p/>
    <w:p>
      <w:pPr>
        <w:spacing w:after="200" w:line="276" w:lineRule="auto"/>
      </w:pPr>
      <w:r>
        <w:t>As a U.S. Air Force combat and test pilot with more than 2,000 flight hours logged, I never had the luxury of second-guessing the runway beneath me. The stakes were too high. Later, commanding Joint Base Andrews and Edwards Air Force Base and serving as the senior U.S. defense official in Iraq, I learned that the same principle reaches far beyond the airfield, to hardened shelters, command centers, fuel infrastructure, and the facilities where our service members live and work. All of it rests on one thing we rarely stop to consider: concrete, and the cement that makes it.</w:t>
      </w:r>
    </w:p>
    <w:p>
      <w:pPr>
        <w:spacing w:after="200" w:line="276" w:lineRule="auto"/>
      </w:pPr>
      <w:r>
        <w:t>That is why I have watched the administration's trade agenda with growing confidence. Its central instinct is correct, and it is increasingly being vindicated. Tariffs on steel and aluminum that skeptics warned would backfire have instead helped bring idle mills and displaced supply chains back to American soil. The premise is sound: a nation that cannot make the essentials of its own defense is not fully sovereign. But the job is unfinished. The same logic now rebuilding our steel industry has yet to reach the material that underpins every base we operate.</w:t>
      </w:r>
    </w:p>
    <w:p>
      <w:pPr>
        <w:spacing w:after="200" w:line="276" w:lineRule="auto"/>
      </w:pPr>
      <w:r>
        <w:t>The vulnerability is real and measurable. Domestic cement production has been slipping even as imports have hovered above 20 percent of what we consume since 2022. Those imports arrive through long, opaque supply chains that make it difficult to verify whether the product meets America's exacting standards, and a growing share of the global market runs through China and the nations in its orbit. Beijing has spent two decades turning ordinary commerce into strategic leverage, from rare earths to pharmaceuticals to the ports that move global trade; cement is simply heavier and harder to ship, which lulls us into believing it is safe. When more than a fifth of a strategic input comes from abroad, foreign suppliers gain leverage over both the quality of what we build and the time it takes to build it. That is leverage no competitor should hold over the United States.</w:t>
      </w:r>
    </w:p>
    <w:p>
      <w:pPr>
        <w:spacing w:after="200" w:line="276" w:lineRule="auto"/>
      </w:pPr>
      <w:r>
        <w:t>These are not hypothetical concerns. Material shortages have already delayed critical defense projects. A Navy runway and taxiway extension in California, begun in 2020, was set back by cement shortages, and a Defense Logistics Agency energy project in Florida ran into costly delays over concrete. Meanwhile, the Air Force carries roughly $46.8 billion in deferred maintenance and repair, and joint bases across the Department of War continue to receive sustainment funding well below what readiness demands. A supply chain we cannot control turns each of those backlogs into a potential mission risk.</w:t>
      </w:r>
    </w:p>
    <w:p>
      <w:pPr>
        <w:spacing w:after="200" w:line="276" w:lineRule="auto"/>
      </w:pPr>
      <w:r>
        <w:t>The administration already holds the right tool. Section 232 of the Trade Expansion Act allows a president to treat a genuine national-security threat as exactly that, not merely a commercial dispute, and it is the same authority applied to steel and aluminum. It should now be extended to cement, with the sharpest edge reserved for imports produced by or routed through our strategic competitors. Reliable partners are not the problem. Dependence on adversaries who would weaponize that dependence is, and a serious trade policy should draw that line without apology. The goal is not to tax our friends, but to ensure that no rival can ever again decide how quickly we pour a flight line.</w:t>
      </w:r>
    </w:p>
    <w:p>
      <w:pPr>
        <w:spacing w:after="200" w:line="276" w:lineRule="auto"/>
      </w:pPr>
      <w:r>
        <w:t>Tariffs alone, however, are not a strategy. Washington should pair them with the deliberate rebuilding of domestic capacity. Classify cement as a strategic material essential to national security. Establish a national stockpile to blunt the next shortage before it stalls a runway. And ensure that projects funded with taxpayer dollars use verifiable American cement, putting the full weight of federal procurement behind our own producers, from the quarry to the kiln. Tariffs buy time. Domestic capacity buys security.</w:t>
      </w:r>
    </w:p>
    <w:p>
      <w:pPr>
        <w:spacing w:after="200" w:line="276" w:lineRule="auto"/>
      </w:pPr>
      <w:r>
        <w:t>The men and women who serve this country deserve airfields, shelters, and command centers they can depend on, foundations forged here at home rather than subject to the goodwill of a rival. The administration built its trade agenda on the conviction that a nation which cannot make things cannot stay free. It has proven the point with metal. Now it must follow that conviction all the way down, to the gray and unglamorous material that every one of those industries, and every one of our bases, is quite literally built upon.</w:t>
      </w:r>
    </w:p>
    <w:p/>
    <w:p>
      <w:r>
        <w:rPr>
          <w:i/>
          <w:sz w:val="21"/>
        </w:rPr>
        <w:t>United States Air Force Brig. Gen. John Teichert (ret.) is an expert on foreign affairs and military strategy. He served as commander of Joint Base Andrews and Edwards Air Force Base, was the senior U.S. defense official to Iraq, and retired as the assistant deputy under secretary of the Air Force for international affairs.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