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The Trump Trade Agenda Is Working. Now It Has to Reach the Concrete.</w:t>
      </w:r>
    </w:p>
    <w:p>
      <w:r>
        <w:rPr>
          <w:i/>
          <w:sz w:val="24"/>
        </w:rPr>
        <w:t>By Lt. Gen. John Teichert, U.S. Air Force (Ret.)</w:t>
      </w:r>
    </w:p>
    <w:p/>
    <w:p>
      <w:pPr>
        <w:spacing w:after="200" w:line="276" w:lineRule="auto"/>
      </w:pPr>
      <w:r>
        <w:t>In more than three decades in uniform, I learned that American power does not begin in the cockpit or the command center. It begins in the ground beneath them. Every runway I ever landed on, every hardened shelter, every missile silo and forward operating base rests on the same unglamorous foundation: concrete. You cannot project power from a country that cannot pour its own.</w:t>
      </w:r>
    </w:p>
    <w:p>
      <w:pPr>
        <w:spacing w:after="200" w:line="276" w:lineRule="auto"/>
      </w:pPr>
      <w:r>
        <w:t>So I have watched President Trump's trade agenda with the eye of a man who thinks about foundations. And I will say plainly what too many in Washington still hedge on: it is working. The tariffs on steel and aluminum that critics swore would wreck the economy have instead helped revive it. Idle mills are running again. Supply chains we handed to Beijing a generation ago are creeping back home. The idea that America should make the things America needs — above all the things America needs to defend itself — is no longer a fringe position. It is national policy, and it is overdue.</w:t>
      </w:r>
    </w:p>
    <w:p>
      <w:pPr>
        <w:spacing w:after="200" w:line="276" w:lineRule="auto"/>
      </w:pPr>
      <w:r>
        <w:t>But an honest assessment is also an unfinished one. The same logic that is rebuilding our steel industry has a blind spot, and it hides in plain sight in the most literal building block of national strength. We have secured the beams. We have left the foundation exposed. That foundation is cement.</w:t>
      </w:r>
    </w:p>
    <w:p>
      <w:pPr>
        <w:spacing w:after="200" w:line="276" w:lineRule="auto"/>
      </w:pPr>
      <w:r>
        <w:t>Most Americans never think about cement, and that is precisely the problem. It is heavy, cheap by the ton, and utterly indispensable. It is also increasingly imported. By some estimates we now bring in close to a fifth of the cement we use, and that share climbs every time construction booms. A material we should treat as strategic, we treat as an afterthought — and our adversaries have noticed.</w:t>
      </w:r>
    </w:p>
    <w:p>
      <w:pPr>
        <w:spacing w:after="200" w:line="276" w:lineRule="auto"/>
      </w:pPr>
      <w:r>
        <w:t>Here is what troubles a national-security professional. Cement is not sneakers. When a fifth of your foundation comes from overseas, and a growing slice of the global market runs through China and the countries in its orbit, you have handed a potential adversary a chokepoint on your own soil. Beijing has spent two decades weaponizing supply chains — rare earths, pharmaceuticals, ports. Cement is heavier and harder to ship, which lulls us into believing it is safe. It is not. A rival that can slow, price, or choke off the material we pour our bases and highways from holds leverage no competitor should ever have over the United States.</w:t>
      </w:r>
    </w:p>
    <w:p>
      <w:pPr>
        <w:spacing w:after="200" w:line="276" w:lineRule="auto"/>
      </w:pPr>
      <w:r>
        <w:t>The President has already shown he understands the tool for this. Section 232 of the Trade Expansion Act exists for exactly this situation: it lets a president treat a genuine national-security threat as what it is, not merely a trade dispute. We used it for steel and aluminum. We should use it for cement. Foreign cement — and above all cement produced by or routed through our strategic competitors — should face tariffs that reflect its true cost to American security, not just its price at the port.</w:t>
      </w:r>
    </w:p>
    <w:p>
      <w:pPr>
        <w:spacing w:after="200" w:line="276" w:lineRule="auto"/>
      </w:pPr>
      <w:r>
        <w:t>Let me be precise, because precision matters in policy as it does in targeting. This is not a call to punish every ally or to raise the cost of a backyard driveway. Canada and other reliable partners are not the threat. The threat is dependence on nations that would use that dependence against us. A smart cement policy draws that line clearly: press hardest on imports tied to adversaries, and pair every tariff with a serious push to rebuild American production, from the quarry to the kiln. Tariffs buy time. Domestic capacity buys security.</w:t>
      </w:r>
    </w:p>
    <w:p>
      <w:pPr>
        <w:spacing w:after="200" w:line="276" w:lineRule="auto"/>
      </w:pPr>
      <w:r>
        <w:t>Skeptics will say cement is too cheap and too local to bother with. They said the same about steel, and they were wrong. They will warn that prices might tick up. Perhaps — but ask any commander whether he would rather pay a little more for a runway or lie awake wondering whether the concrete for it will arrive at all. We do not measure the worth of a fortress by the discount on its bricks.</w:t>
      </w:r>
    </w:p>
    <w:p>
      <w:pPr>
        <w:spacing w:after="200" w:line="276" w:lineRule="auto"/>
      </w:pPr>
      <w:r>
        <w:t>The President built this trade agenda on a simple and correct instinct: a nation that cannot make things cannot stay free. He has applied that instinct to metal, to microchips, to the industries of the future. The task now is to follow it all the way down — to the gray, unglamorous, load-bearing stuff that every one of those industries is literally built upon.</w:t>
      </w:r>
    </w:p>
    <w:p>
      <w:pPr>
        <w:spacing w:after="200" w:line="276" w:lineRule="auto"/>
      </w:pPr>
      <w:r>
        <w:t>We have poured a strong foundation for an American renewal. Let us not leave it resting on someone else's 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