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qstdbxv5nn4" w:id="0"/>
      <w:bookmarkEnd w:id="0"/>
      <w:r w:rsidDel="00000000" w:rsidR="00000000" w:rsidRPr="00000000">
        <w:rPr>
          <w:rtl w:val="0"/>
        </w:rPr>
        <w:t xml:space="preserve">Laboratório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pkj2zzycx5dc" w:id="1"/>
      <w:bookmarkEnd w:id="1"/>
      <w:r w:rsidDel="00000000" w:rsidR="00000000" w:rsidRPr="00000000">
        <w:rPr>
          <w:rtl w:val="0"/>
        </w:rPr>
        <w:t xml:space="preserve">Subgrupo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nome - RA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nome - RA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nome - RA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2uek4rcvacfc" w:id="2"/>
      <w:bookmarkEnd w:id="2"/>
      <w:r w:rsidDel="00000000" w:rsidR="00000000" w:rsidRPr="00000000">
        <w:rPr>
          <w:rtl w:val="0"/>
        </w:rPr>
        <w:t xml:space="preserve">Tabelas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Coloque amostras das duas tabelas com três linhas de dados: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5jiuzkxmmkky" w:id="3"/>
      <w:bookmarkEnd w:id="3"/>
      <w:r w:rsidDel="00000000" w:rsidR="00000000" w:rsidRPr="00000000">
        <w:rPr>
          <w:rtl w:val="0"/>
        </w:rPr>
        <w:t xml:space="preserve">Nós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dw5kzks7fvu1" w:id="4"/>
      <w:bookmarkEnd w:id="4"/>
      <w:r w:rsidDel="00000000" w:rsidR="00000000" w:rsidRPr="00000000">
        <w:rPr>
          <w:rtl w:val="0"/>
        </w:rPr>
        <w:t xml:space="preserve">Arestas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wa4wcu6ve5t1" w:id="5"/>
      <w:bookmarkEnd w:id="5"/>
      <w:r w:rsidDel="00000000" w:rsidR="00000000" w:rsidRPr="00000000">
        <w:rPr>
          <w:rtl w:val="0"/>
        </w:rPr>
        <w:t xml:space="preserve">Expressão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8xhdep309lww" w:id="6"/>
      <w:bookmarkEnd w:id="6"/>
      <w:r w:rsidDel="00000000" w:rsidR="00000000" w:rsidRPr="00000000">
        <w:rPr>
          <w:rtl w:val="0"/>
        </w:rPr>
        <w:t xml:space="preserve">CytoScape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&lt;images das versões de grafo&gt;</w:t>
      </w:r>
    </w:p>
    <w:p w:rsidR="00000000" w:rsidDel="00000000" w:rsidP="00000000" w:rsidRDefault="00000000" w:rsidRPr="00000000" w14:paraId="00000040">
      <w:pPr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&lt;capturas de tela de configurações de estilo&gt;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