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Liberation Sans" w:hAnsi="Liberation Sans"/>
          <w:b/>
          <w:color w:val="000000"/>
          <w:sz w:val="44"/>
        </w:rPr>
        <w:t>From Operational Autonomy to Consequence Permission</w:t>
      </w:r>
    </w:p>
    <w:p>
      <w:pPr>
        <w:pStyle w:val="Subtitle"/>
      </w:pPr>
      <w:r>
        <w:rPr>
          <w:rFonts w:ascii="Liberation Sans" w:hAnsi="Liberation Sans"/>
          <w:color w:val="000000"/>
          <w:sz w:val="26"/>
        </w:rPr>
        <w:t>Extending OAL MOAL MORAL with the Consequence Permission Matrix</w:t>
      </w:r>
    </w:p>
    <w:p>
      <w:pPr>
        <w:pStyle w:val="Subtitle"/>
      </w:pPr>
      <w:r>
        <w:rPr>
          <w:rFonts w:ascii="Liberation Sans" w:hAnsi="Liberation Sans"/>
          <w:color w:val="000000"/>
          <w:sz w:val="26"/>
        </w:rPr>
        <w:t>Part of the Steiner AI Authority and Consequence Matrix (SACM): the MORAL/CPM Management Portfolio Map · DOI 10.5281/zenodo.23232175 · Licensed CC BY 4.0</w:t>
      </w:r>
    </w:p>
    <w:p/>
    <w:p>
      <w:pPr>
        <w:spacing w:after="40" w:line="269" w:lineRule="auto"/>
      </w:pPr>
      <w:r>
        <w:rPr>
          <w:rFonts w:ascii="Liberation Sans" w:hAnsi="Liberation Sans"/>
          <w:b/>
          <w:color w:val="000000"/>
        </w:rPr>
        <w:t>Martin K Steiner</w:t>
      </w:r>
      <w:r>
        <w:rPr>
          <w:rFonts w:ascii="Liberation Sans" w:hAnsi="Liberation Sans"/>
          <w:color w:val="000000"/>
        </w:rPr>
      </w:r>
    </w:p>
    <w:p>
      <w:pPr>
        <w:spacing w:after="40" w:line="269" w:lineRule="auto"/>
      </w:pPr>
      <w:r>
        <w:rPr>
          <w:rFonts w:ascii="Liberation Sans" w:hAnsi="Liberation Sans"/>
          <w:i/>
          <w:color w:val="000000"/>
        </w:rPr>
        <w:t>Independent Researcher, United Kingdom</w:t>
      </w:r>
    </w:p>
    <w:p>
      <w:pPr>
        <w:spacing w:after="320" w:line="269" w:lineRule="auto"/>
      </w:pPr>
      <w:r>
        <w:rPr>
          <w:rFonts w:ascii="Liberation Sans" w:hAnsi="Liberation Sans"/>
          <w:i w:val="0"/>
          <w:color w:val="000000"/>
        </w:rPr>
        <w:t>Corresponding author  mks.sbc@proton.me</w:t>
      </w:r>
    </w:p>
    <w:p>
      <w:pPr>
        <w:spacing w:after="60" w:line="269" w:lineRule="auto"/>
      </w:pPr>
      <w:r>
        <w:rPr>
          <w:rFonts w:ascii="Liberation Sans" w:hAnsi="Liberation Sans"/>
          <w:b/>
          <w:color w:val="000000"/>
        </w:rPr>
        <w:t>Conceptual paper</w:t>
      </w:r>
      <w:r>
        <w:rPr>
          <w:rFonts w:ascii="Liberation Sans" w:hAnsi="Liberation Sans"/>
          <w:color w:val="000000"/>
        </w:rPr>
      </w:r>
    </w:p>
    <w:p>
      <w:pPr>
        <w:spacing w:after="400" w:line="269" w:lineRule="auto"/>
      </w:pPr>
      <w:r>
        <w:rPr>
          <w:rFonts w:ascii="Liberation Sans" w:hAnsi="Liberation Sans"/>
          <w:i w:val="0"/>
          <w:color w:val="000000"/>
        </w:rPr>
        <w:t>October 2026</w:t>
      </w:r>
    </w:p>
    <w:p>
      <w:pPr>
        <w:spacing w:after="160" w:line="269" w:lineRule="auto"/>
      </w:pPr>
      <w:r>
        <w:rPr>
          <w:rFonts w:ascii="Liberation Sans" w:hAnsi="Liberation Sans"/>
          <w:i/>
          <w:color w:val="000000"/>
        </w:rPr>
        <w:t>This paper develops a governance answer to a narrow but consequential question: the decisive issue is not only how autonomous an AI agent is, but which classes of consequence each of its functions is permitted to touch. It reconstructs the progression from Operational Autonomy Levels through MOAL and MORAL, identifies the permission gap that remains, and introduces the Consequence Permission Matrix as a function-specific control layer.</w:t>
      </w:r>
    </w:p>
    <w:p>
      <w:pPr>
        <w:spacing w:after="0" w:line="269" w:lineRule="auto"/>
      </w:pPr>
      <w:r>
        <w:rPr>
          <w:rFonts w:ascii="Liberation Sans" w:hAnsi="Liberation Sans"/>
          <w:b/>
          <w:color w:val="000000"/>
        </w:rPr>
        <w:t xml:space="preserve">Status  </w:t>
      </w:r>
      <w:r>
        <w:rPr>
          <w:rFonts w:ascii="Liberation Sans" w:hAnsi="Liberation Sans"/>
          <w:color w:val="000000"/>
        </w:rPr>
        <w:t>Proposed framework for research and practical evaluation. No claim of empirical validation or regulatory certification is made.</w:t>
      </w:r>
    </w:p>
    <w:p>
      <w:r>
        <w:br w:type="page"/>
      </w:r>
    </w:p>
    <w:p>
      <w:pPr>
        <w:pStyle w:val="Heading1"/>
        <w:keepNext/>
      </w:pPr>
      <w:r>
        <w:rPr>
          <w:rFonts w:ascii="Liberation Sans" w:hAnsi="Liberation Sans"/>
          <w:b/>
          <w:color w:val="000000"/>
        </w:rPr>
        <w:t>Abstract</w:t>
      </w:r>
    </w:p>
    <w:p>
      <w:pPr>
        <w:spacing w:after="100" w:line="269" w:lineRule="auto"/>
      </w:pPr>
      <w:r>
        <w:rPr>
          <w:rFonts w:ascii="Liberation Sans" w:hAnsi="Liberation Sans"/>
          <w:i w:val="0"/>
          <w:color w:val="000000"/>
        </w:rPr>
        <w:t>Current classifications of artificial intelligence agents commonly ask what a system can do, how independently it can do it, or where human approval occurs. These questions are necessary but incomplete. A highly autonomous function may be acceptable when confined to limited, reversible consequences, while a comparatively modest function may be unacceptable if it can affect safety, fundamental rights or organisational survival. This paper develops that distinction from the author's existing Operational Autonomy Level framework. OAL expresses the independence of one defined function; MOAL records that different functions within the same system may operate at different levels; and MORAL combines functional autonomy with consequence class, authority limits, aggregate exposure, reversibility and human oversight. The paper identifies a remaining operational question within that architecture: which consequence classes is each function permitted to touch, and in what mode? It proposes the Consequence Permission Matrix, or CPM, as a function-by-consequence profile using four permission states: Authorised, Human-gated, Monitor only and Excluded. The CPM does not create a further autonomy scale. It overlays permission on declared autonomy and makes the boundary between technical capability and organisational authority explicit. The paper defines 'touch', explains the interaction between CPM permissions and OAL, provides cross-sector examples, and sets out a governance workflow and validation programme. Its principal claim is that autonomy classification becomes more decision-useful when organisations specify consequence permissions at the functional level rather than treating autonomy as a system-wide property. The CPM is presented as a descriptive governance instrument requiring empirical evaluation, domain adaptation and legal interpretation before normative use.</w:t>
      </w:r>
    </w:p>
    <w:p>
      <w:pPr>
        <w:spacing w:after="200" w:line="269" w:lineRule="auto"/>
      </w:pPr>
      <w:r>
        <w:rPr>
          <w:rFonts w:ascii="Liberation Sans" w:hAnsi="Liberation Sans"/>
          <w:b/>
          <w:color w:val="000000"/>
        </w:rPr>
        <w:t xml:space="preserve">Keywords  </w:t>
      </w:r>
      <w:r>
        <w:rPr>
          <w:rFonts w:ascii="Liberation Sans" w:hAnsi="Liberation Sans"/>
          <w:color w:val="000000"/>
        </w:rPr>
        <w:t>agentic AI; artificial intelligence governance; autonomy; delegated authority; human oversight; consequence classification; permission boundaries; accountability</w:t>
      </w:r>
    </w:p>
    <w:p>
      <w:pPr>
        <w:pStyle w:val="Heading1"/>
        <w:keepNext/>
      </w:pPr>
      <w:r>
        <w:rPr>
          <w:rFonts w:ascii="Liberation Sans" w:hAnsi="Liberation Sans"/>
          <w:b/>
          <w:color w:val="000000"/>
        </w:rPr>
        <w:t>1 Introduction</w:t>
      </w:r>
    </w:p>
    <w:p>
      <w:pPr>
        <w:spacing w:after="100" w:line="269" w:lineRule="auto"/>
      </w:pPr>
      <w:r>
        <w:rPr>
          <w:rFonts w:ascii="Liberation Sans" w:hAnsi="Liberation Sans"/>
          <w:i w:val="0"/>
          <w:color w:val="000000"/>
        </w:rPr>
        <w:t>Agentic artificial intelligence systems increasingly perform sequences of actions rather than produce isolated recommendations. They can gather information, select tools, initiate transactions, communicate with third parties and continue towards a goal with limited intervention. This development has made 'autonomy' a central term in technical and governance discussions, but it remains an unstable shorthand. It can refer to capability, duration of operation, absence of human input, breadth of discretion, access to tools or authority to create consequences. Treating these different properties as a single scale obscures the practical decision that organisations must make before deployment: what authority is actually being delegated?</w:t>
      </w:r>
    </w:p>
    <w:p>
      <w:pPr>
        <w:spacing w:after="100" w:line="269" w:lineRule="auto"/>
      </w:pPr>
      <w:r>
        <w:rPr>
          <w:rFonts w:ascii="Liberation Sans" w:hAnsi="Liberation Sans"/>
          <w:i w:val="0"/>
          <w:color w:val="000000"/>
        </w:rPr>
        <w:t>The Operational Autonomy Level framework was developed to communicate the independence of a defined AI function rather than to rank a whole system (Steiner, 2026). It separates operational authority from technical capability and treats approval, reversibility and accountability as part of the classification. The subsequent MOAL and MORAL extensions address mixed-function systems and the severity of credible consequences. Together they move the analysis from 'How advanced is the system?' to 'What is this function allowed to do, under which controls, and with what exposure?'</w:t>
      </w:r>
    </w:p>
    <w:p>
      <w:pPr>
        <w:spacing w:after="100" w:line="269" w:lineRule="auto"/>
      </w:pPr>
      <w:r>
        <w:rPr>
          <w:rFonts w:ascii="Liberation Sans" w:hAnsi="Liberation Sans"/>
          <w:i w:val="0"/>
          <w:color w:val="000000"/>
        </w:rPr>
        <w:t>A further distinction is nevertheless required. Two functions may share the same OAL while being permitted to interact with entirely different kinds of consequence. Conversely, one function may be authorised to act autonomously on low-consequence matters, require approval for major matters, be restricted to observation for critical matters, and be excluded from some domains altogether. A single autonomy label cannot express that permission profile. The more discriminating question is therefore not merely how autonomous the agent is, but what consequence class it is allowed to touch.</w:t>
      </w:r>
    </w:p>
    <w:p>
      <w:pPr>
        <w:spacing w:after="100" w:line="269" w:lineRule="auto"/>
      </w:pPr>
      <w:r>
        <w:rPr>
          <w:rFonts w:ascii="Liberation Sans" w:hAnsi="Liberation Sans"/>
          <w:i w:val="0"/>
          <w:color w:val="000000"/>
        </w:rPr>
        <w:t>This paper introduces the Consequence Permission Matrix to answer that question. The contribution is conceptual and operational. First, it reconstructs the argument from OAL to MOAL and MORAL. Secondly, it defines permission as a separate governance dimension. Thirdly, it provides a compact matrix that can be assigned to each material function. Finally, it proposes a workflow for using the matrix in design review, deployment approval, monitoring and change control. The CPM is intended to complement established risk-management, auditing and regulatory practices, not replace them.</w:t>
      </w:r>
    </w:p>
    <w:p>
      <w:pPr>
        <w:pStyle w:val="Heading1"/>
        <w:keepNext/>
      </w:pPr>
      <w:r>
        <w:rPr>
          <w:rFonts w:ascii="Liberation Sans" w:hAnsi="Liberation Sans"/>
          <w:b/>
          <w:color w:val="000000"/>
        </w:rPr>
        <w:t>2 Research question method and contribution</w:t>
      </w:r>
    </w:p>
    <w:p>
      <w:pPr>
        <w:spacing w:after="100" w:line="269" w:lineRule="auto"/>
      </w:pPr>
      <w:r>
        <w:rPr>
          <w:rFonts w:ascii="Liberation Sans" w:hAnsi="Liberation Sans"/>
          <w:i w:val="0"/>
          <w:color w:val="000000"/>
        </w:rPr>
        <w:t>The research question is: how can an organisation express, in a compact and auditable form, the consequence classes that a defined AI function may access, influence, alter, authorise or commit? The paper uses conceptual framework development. It analyses the internal logic of OAL, MOAL and MORAL; compares that logic with literature on levels of automation, AI governance, sociotechnical risk, accountability and controllability; and derives a permission construct intended for practical testing.</w:t>
      </w:r>
    </w:p>
    <w:p>
      <w:pPr>
        <w:spacing w:after="100" w:line="269" w:lineRule="auto"/>
      </w:pPr>
      <w:r>
        <w:rPr>
          <w:rFonts w:ascii="Liberation Sans" w:hAnsi="Liberation Sans"/>
          <w:i w:val="0"/>
          <w:color w:val="000000"/>
        </w:rPr>
        <w:t>The method is not an empirical validation. No claim is made that the four permission states are exhaustive in every domain, that organisations will classify consequences consistently, or that use of the CPM improves outcomes. Those propositions require case studies, inter-rater testing, incident analysis and comparative evaluation. The present contribution is a defined and falsifiable artefact: it specifies the constructs, rules and implementation steps sufficiently clearly for those tests to occur.</w:t>
      </w:r>
    </w:p>
    <w:p>
      <w:pPr>
        <w:spacing w:after="100" w:line="269" w:lineRule="auto"/>
      </w:pPr>
      <w:r>
        <w:rPr>
          <w:rFonts w:ascii="Liberation Sans" w:hAnsi="Liberation Sans"/>
          <w:i w:val="0"/>
          <w:color w:val="000000"/>
        </w:rPr>
        <w:t>The paper makes three contributions. It distinguishes operational autonomy from consequence permission; it specifies a two-dimensional permission map for each function; and it integrates that map with the wider MORAL description of limits, aggregate exposure, reversibility and oversight. The result is designed to support clearer communication between system developers, business owners, risk professionals, legal advisers, auditors and accountable executives.</w:t>
      </w:r>
    </w:p>
    <w:p>
      <w:pPr>
        <w:pStyle w:val="Heading1"/>
        <w:keepNext/>
      </w:pPr>
      <w:r>
        <w:rPr>
          <w:rFonts w:ascii="Liberation Sans" w:hAnsi="Liberation Sans"/>
          <w:b/>
          <w:color w:val="000000"/>
        </w:rPr>
        <w:t>3 The proposition leading to MORAL</w:t>
      </w:r>
    </w:p>
    <w:p>
      <w:pPr>
        <w:pStyle w:val="Heading2"/>
        <w:keepNext/>
      </w:pPr>
      <w:r>
        <w:rPr>
          <w:rFonts w:ascii="Liberation Sans" w:hAnsi="Liberation Sans"/>
          <w:b/>
          <w:color w:val="000000"/>
        </w:rPr>
        <w:t>3.1 Capability is not delegated authority</w:t>
      </w:r>
    </w:p>
    <w:p>
      <w:pPr>
        <w:spacing w:after="100" w:line="269" w:lineRule="auto"/>
      </w:pPr>
      <w:r>
        <w:rPr>
          <w:rFonts w:ascii="Liberation Sans" w:hAnsi="Liberation Sans"/>
          <w:i w:val="0"/>
          <w:color w:val="000000"/>
        </w:rPr>
        <w:t>A system's capability describes what it can technically accomplish under some conditions. Delegated authority describes what an organisation permits it to accomplish in a particular role. The two can diverge. An agent may be technically capable of initiating high-value payments while being authorised only to draft them; it may generate a clinical recommendation while lacking authority to alter a care plan; or it may optimise industrial settings while being prohibited from changing a safety-critical parameter. Zheng et al. (2026) make a closely related distinction between autonomous capability levels and allowed autonomy levels. Feng, McDonald and Zhang (2025) likewise treat autonomy as a design decision that can be separated from capability and operating environment.</w:t>
      </w:r>
    </w:p>
    <w:p>
      <w:pPr>
        <w:spacing w:after="100" w:line="269" w:lineRule="auto"/>
      </w:pPr>
      <w:r>
        <w:rPr>
          <w:rFonts w:ascii="Liberation Sans" w:hAnsi="Liberation Sans"/>
          <w:i w:val="0"/>
          <w:color w:val="000000"/>
        </w:rPr>
        <w:t>This distinction matters because increasing capability does not automatically justify increasing authority. Permission depends on context, accountability, uncertainty, reversibility and the nature of the affected interests. The principle of least privilege in computer security offers a useful analogy: access should be no greater than required for the assigned task (Saltzer and Schroeder, 1975). In AI governance, the comparable proposition is least consequential permission: a function should receive no broader mode of contact with consequential processes than its purpose demonstrably requires. This paper advances that as a governance heuristic, not as an established legal rule.</w:t>
      </w:r>
    </w:p>
    <w:p>
      <w:pPr>
        <w:pStyle w:val="Heading2"/>
        <w:keepNext/>
      </w:pPr>
      <w:r>
        <w:rPr>
          <w:rFonts w:ascii="Liberation Sans" w:hAnsi="Liberation Sans"/>
          <w:b/>
          <w:color w:val="000000"/>
        </w:rPr>
        <w:t>3.2 Operational Autonomy Levels</w:t>
      </w:r>
    </w:p>
    <w:p>
      <w:pPr>
        <w:spacing w:after="100" w:line="269" w:lineRule="auto"/>
      </w:pPr>
      <w:r>
        <w:rPr>
          <w:rFonts w:ascii="Liberation Sans" w:hAnsi="Liberation Sans"/>
          <w:i w:val="0"/>
          <w:color w:val="000000"/>
        </w:rPr>
        <w:t>OAL classifies the independence of one defined function in its actual operating context. The unit of analysis is deliberately narrow. A procurement agent may search suppliers at one level, negotiate terms at another and approve expenditure at a third. A system-wide label would collapse these materially different delegations.</w:t>
      </w:r>
    </w:p>
    <w:p>
      <w:r>
        <w:br w:type="page"/>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37"/>
        <w:gridCol w:w="3137"/>
        <w:gridCol w:w="3137"/>
      </w:tblGrid>
      <w:tr>
        <w:trPr>
          <w:tblHeader w:val="true"/>
        </w:trPr>
        <w:tc>
          <w:tcPr>
            <w:tcW w:type="dxa" w:w="1247"/>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Level</w:t>
            </w:r>
          </w:p>
        </w:tc>
        <w:tc>
          <w:tcPr>
            <w:tcW w:type="dxa" w:w="2438"/>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Name</w:t>
            </w:r>
          </w:p>
        </w:tc>
        <w:tc>
          <w:tcPr>
            <w:tcW w:type="dxa" w:w="5499"/>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Operational meaning</w:t>
            </w:r>
          </w:p>
        </w:tc>
      </w:tr>
      <w:tr>
        <w:tc>
          <w:tcPr>
            <w:tcW w:type="dxa" w:w="1247"/>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OAL-0</w:t>
            </w:r>
          </w:p>
        </w:tc>
        <w:tc>
          <w:tcPr>
            <w:tcW w:type="dxa" w:w="2438"/>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Tool</w:t>
            </w:r>
          </w:p>
        </w:tc>
        <w:tc>
          <w:tcPr>
            <w:tcW w:type="dxa" w:w="5499"/>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Produces output only in direct response to a human instruction; no independent operational progression.</w:t>
            </w:r>
          </w:p>
        </w:tc>
      </w:tr>
      <w:tr>
        <w:tc>
          <w:tcPr>
            <w:tcW w:type="dxa" w:w="1247"/>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OAL-1</w:t>
            </w:r>
          </w:p>
        </w:tc>
        <w:tc>
          <w:tcPr>
            <w:tcW w:type="dxa" w:w="243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Advisory</w:t>
            </w:r>
          </w:p>
        </w:tc>
        <w:tc>
          <w:tcPr>
            <w:tcW w:type="dxa" w:w="5499"/>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Supports a human task and may organise or analyse information, but the human directs consequential steps.</w:t>
            </w:r>
          </w:p>
        </w:tc>
      </w:tr>
      <w:tr>
        <w:tc>
          <w:tcPr>
            <w:tcW w:type="dxa" w:w="1247"/>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OAL-2</w:t>
            </w:r>
          </w:p>
        </w:tc>
        <w:tc>
          <w:tcPr>
            <w:tcW w:type="dxa" w:w="2438"/>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Controlled</w:t>
            </w:r>
          </w:p>
        </w:tc>
        <w:tc>
          <w:tcPr>
            <w:tcW w:type="dxa" w:w="5499"/>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Develops a recommendation or prepares an action; explicit human approval is required before commitment.</w:t>
            </w:r>
          </w:p>
        </w:tc>
      </w:tr>
      <w:tr>
        <w:tc>
          <w:tcPr>
            <w:tcW w:type="dxa" w:w="1247"/>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OAL-3</w:t>
            </w:r>
          </w:p>
        </w:tc>
        <w:tc>
          <w:tcPr>
            <w:tcW w:type="dxa" w:w="243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Supervised</w:t>
            </w:r>
          </w:p>
        </w:tc>
        <w:tc>
          <w:tcPr>
            <w:tcW w:type="dxa" w:w="5499"/>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Executes defined tasks within bounded discretion and escalation rules.</w:t>
            </w:r>
          </w:p>
        </w:tc>
      </w:tr>
      <w:tr>
        <w:tc>
          <w:tcPr>
            <w:tcW w:type="dxa" w:w="1247"/>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OAL-4</w:t>
            </w:r>
          </w:p>
        </w:tc>
        <w:tc>
          <w:tcPr>
            <w:tcW w:type="dxa" w:w="2438"/>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Delegated</w:t>
            </w:r>
          </w:p>
        </w:tc>
        <w:tc>
          <w:tcPr>
            <w:tcW w:type="dxa" w:w="5499"/>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Pursues operational goals and commits actions within a declared mandate and limits.</w:t>
            </w:r>
          </w:p>
        </w:tc>
      </w:tr>
      <w:tr>
        <w:tc>
          <w:tcPr>
            <w:tcW w:type="dxa" w:w="1247"/>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OAL-5</w:t>
            </w:r>
          </w:p>
        </w:tc>
        <w:tc>
          <w:tcPr>
            <w:tcW w:type="dxa" w:w="243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Executive</w:t>
            </w:r>
          </w:p>
        </w:tc>
        <w:tc>
          <w:tcPr>
            <w:tcW w:type="dxa" w:w="5499"/>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Exercises broad goal-setting or resource authority normally associated with senior accountable decision-making.</w:t>
            </w:r>
          </w:p>
        </w:tc>
      </w:tr>
    </w:tbl>
    <w:p>
      <w:pPr>
        <w:spacing w:after="20"/>
      </w:pPr>
    </w:p>
    <w:p>
      <w:pPr>
        <w:spacing w:after="100" w:line="269" w:lineRule="auto"/>
      </w:pPr>
      <w:r>
        <w:rPr>
          <w:rFonts w:ascii="Liberation Sans" w:hAnsi="Liberation Sans"/>
          <w:i w:val="0"/>
          <w:color w:val="000000"/>
        </w:rPr>
        <w:t>OAL is not a measure of intelligence, accuracy, reliability or moral status. It is a statement about operational independence and delegated discretion. A high OAL may be reasonable in a narrow, reversible and well-controlled domain; a low OAL may still be dangerous where a human approver is overloaded, poorly informed or merely rubber-stamps recommendations. Parasuraman, Sheridan and Wickens (2000) similarly show that automation can be applied to different stages of information acquisition, analysis, decision selection and action implementation. Human involvement must therefore be assessed for its function and quality, not simply its presence.</w:t>
      </w:r>
    </w:p>
    <w:p>
      <w:pPr>
        <w:pStyle w:val="Heading2"/>
        <w:keepNext/>
      </w:pPr>
      <w:r>
        <w:rPr>
          <w:rFonts w:ascii="Liberation Sans" w:hAnsi="Liberation Sans"/>
          <w:b/>
          <w:color w:val="000000"/>
        </w:rPr>
        <w:t>3.3 Multiple Operational Autonomy Levels</w:t>
      </w:r>
    </w:p>
    <w:p>
      <w:pPr>
        <w:spacing w:after="100" w:line="269" w:lineRule="auto"/>
      </w:pPr>
      <w:r>
        <w:rPr>
          <w:rFonts w:ascii="Liberation Sans" w:hAnsi="Liberation Sans"/>
          <w:i w:val="0"/>
          <w:color w:val="000000"/>
        </w:rPr>
        <w:t>MOAL addresses systems whose functions operate at different OALs. The acronym is descriptive: multiple OAL values are recorded for the material functions of one system or service. MOAL prevents the highest or most visible function from becoming a misleading label for the whole deployment. It also makes control design more precise, because approval rules, tool access and monitoring can be attached to the function that needs them.</w:t>
      </w:r>
    </w:p>
    <w:p>
      <w:pPr>
        <w:spacing w:after="100" w:line="269" w:lineRule="auto"/>
      </w:pPr>
      <w:r>
        <w:rPr>
          <w:rFonts w:ascii="Liberation Sans" w:hAnsi="Liberation Sans"/>
          <w:i w:val="0"/>
          <w:color w:val="000000"/>
        </w:rPr>
        <w:t>A customer-service agent, for example, might retrieve account information at OAL-1, draft a response at OAL-2, issue a routine refund within a small limit at OAL-3 and have no authority to close an account. MOAL captures that uneven distribution of authority. It also creates a basis for change control: if a software update moves only the refund function from OAL-2 to OAL-3, the organisation can review that change without re-labelling unrelated functions.</w:t>
      </w:r>
    </w:p>
    <w:p>
      <w:pPr>
        <w:pStyle w:val="Heading2"/>
        <w:keepNext/>
      </w:pPr>
      <w:r>
        <w:rPr>
          <w:rFonts w:ascii="Liberation Sans" w:hAnsi="Liberation Sans"/>
          <w:b/>
          <w:color w:val="000000"/>
        </w:rPr>
        <w:t>3.4 MORAL</w:t>
      </w:r>
    </w:p>
    <w:p>
      <w:pPr>
        <w:spacing w:after="100" w:line="269" w:lineRule="auto"/>
      </w:pPr>
      <w:r>
        <w:rPr>
          <w:rFonts w:ascii="Liberation Sans" w:hAnsi="Liberation Sans"/>
          <w:i w:val="0"/>
          <w:color w:val="000000"/>
        </w:rPr>
        <w:t>MORAL extends the description beyond autonomy. For each material function it records the declared OAL, the credible consequence class, individual authority limits, aggregate exposure, reversibility, and the form of human oversight and escalation (Steiner, 2026). The name is a mnemonic for a richer operational description; it is not a morality score. Nor is a MORAL position a probability estimate, safety certificate, legal opinion or ethical approval.</w:t>
      </w:r>
    </w:p>
    <w:p>
      <w:r>
        <w:br w:type="page"/>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37"/>
        <w:gridCol w:w="3137"/>
        <w:gridCol w:w="3137"/>
      </w:tblGrid>
      <w:tr>
        <w:trPr>
          <w:tblHeader w:val="true"/>
        </w:trPr>
        <w:tc>
          <w:tcPr>
            <w:tcW w:type="dxa" w:w="1077"/>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Class</w:t>
            </w:r>
          </w:p>
        </w:tc>
        <w:tc>
          <w:tcPr>
            <w:tcW w:type="dxa" w:w="1701"/>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Label</w:t>
            </w:r>
          </w:p>
        </w:tc>
        <w:tc>
          <w:tcPr>
            <w:tcW w:type="dxa" w:w="6406"/>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Indicative consequence</w:t>
            </w:r>
          </w:p>
        </w:tc>
      </w:tr>
      <w:tr>
        <w:tc>
          <w:tcPr>
            <w:tcW w:type="dxa" w:w="1077"/>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C1</w:t>
            </w:r>
          </w:p>
        </w:tc>
        <w:tc>
          <w:tcPr>
            <w:tcW w:type="dxa" w:w="1701"/>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Limited</w:t>
            </w:r>
          </w:p>
        </w:tc>
        <w:tc>
          <w:tcPr>
            <w:tcW w:type="dxa" w:w="6406"/>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Readily reversible with limited internal, financial or operational effect.</w:t>
            </w:r>
          </w:p>
        </w:tc>
      </w:tr>
      <w:tr>
        <w:tc>
          <w:tcPr>
            <w:tcW w:type="dxa" w:w="1077"/>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C2</w:t>
            </w:r>
          </w:p>
        </w:tc>
        <w:tc>
          <w:tcPr>
            <w:tcW w:type="dxa" w:w="1701"/>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Material</w:t>
            </w:r>
          </w:p>
        </w:tc>
        <w:tc>
          <w:tcPr>
            <w:tcW w:type="dxa" w:w="6406"/>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Meaningful but reasonably recoverable customer, operational, administrative or financial effect.</w:t>
            </w:r>
          </w:p>
        </w:tc>
      </w:tr>
      <w:tr>
        <w:tc>
          <w:tcPr>
            <w:tcW w:type="dxa" w:w="1077"/>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C3</w:t>
            </w:r>
          </w:p>
        </w:tc>
        <w:tc>
          <w:tcPr>
            <w:tcW w:type="dxa" w:w="1701"/>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Major</w:t>
            </w:r>
          </w:p>
        </w:tc>
        <w:tc>
          <w:tcPr>
            <w:tcW w:type="dxa" w:w="6406"/>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Substantial financial, legal, employment, data, commercial, reputational or operational effect that may be difficult or costly to reverse.</w:t>
            </w:r>
          </w:p>
        </w:tc>
      </w:tr>
      <w:tr>
        <w:tc>
          <w:tcPr>
            <w:tcW w:type="dxa" w:w="1077"/>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C4</w:t>
            </w:r>
          </w:p>
        </w:tc>
        <w:tc>
          <w:tcPr>
            <w:tcW w:type="dxa" w:w="1701"/>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Critical</w:t>
            </w:r>
          </w:p>
        </w:tc>
        <w:tc>
          <w:tcPr>
            <w:tcW w:type="dxa" w:w="6406"/>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Potential material effect on safety, fundamental rights, critical infrastructure, major environmental outcomes, systemic stability or organisational survival.</w:t>
            </w:r>
          </w:p>
        </w:tc>
      </w:tr>
    </w:tbl>
    <w:p>
      <w:pPr>
        <w:spacing w:after="20"/>
      </w:pPr>
    </w:p>
    <w:p>
      <w:pPr>
        <w:spacing w:after="100" w:line="269" w:lineRule="auto"/>
      </w:pPr>
      <w:r>
        <w:rPr>
          <w:rFonts w:ascii="Liberation Sans" w:hAnsi="Liberation Sans"/>
          <w:i w:val="0"/>
          <w:color w:val="000000"/>
        </w:rPr>
        <w:t>The class describes credible adverse consequence, not merely transaction value. A low-value act can have a major rights effect; a technically reversible database change can be practically irreversible once relied upon; and many C1 acts can accumulate into C3 exposure. MORAL therefore includes both individual limits and aggregate exposure. It also requires a realistic view of reversibility: the ability to restore a record does not necessarily restore a person's opportunity, reputation, safety or legal position.</w:t>
      </w:r>
    </w:p>
    <w:p>
      <w:pPr>
        <w:spacing w:after="100" w:line="269" w:lineRule="auto"/>
      </w:pPr>
      <w:r>
        <w:rPr>
          <w:rFonts w:ascii="Liberation Sans" w:hAnsi="Liberation Sans"/>
          <w:i w:val="0"/>
          <w:color w:val="000000"/>
        </w:rPr>
        <w:t>This approach is compatible with risk-management frameworks that ask organisations to map context, measure risk, govern responsibilities and manage impacts. The NIST AI Risk Management Framework, for example, is voluntary and organises activity around Govern, Map, Measure and Manage (NIST, 2023). Organisational AI governance research also emphasises allocation of decision rights, responsibilities and procedures (Mäntymäki et al., 2022; Birkstedt et al., 2023). MORAL adds a compact operational vocabulary but does not remove the need for those broader processes.</w:t>
      </w:r>
    </w:p>
    <w:p>
      <w:pPr>
        <w:pStyle w:val="Heading1"/>
        <w:keepNext/>
      </w:pPr>
      <w:r>
        <w:rPr>
          <w:rFonts w:ascii="Liberation Sans" w:hAnsi="Liberation Sans"/>
          <w:b/>
          <w:color w:val="000000"/>
        </w:rPr>
        <w:t>4 The unresolved consequence permission problem</w:t>
      </w:r>
    </w:p>
    <w:p>
      <w:pPr>
        <w:spacing w:after="100" w:line="269" w:lineRule="auto"/>
      </w:pPr>
      <w:r>
        <w:rPr>
          <w:rFonts w:ascii="Liberation Sans" w:hAnsi="Liberation Sans"/>
          <w:i w:val="0"/>
          <w:color w:val="000000"/>
        </w:rPr>
        <w:t>MORAL identifies the consequence class associated with a function, but governance decisions often require a more granular answer. A function can encounter several classes and be permitted to interact with each in a different way. It may act directly in C1 and C2, prepare but not commit a C3 decision, observe C4 indicators and be excluded from any route that could alter a C4 process. Recording only the maximum credible class would conceal these distinctions. Recording only the OAL would be still less informative.</w:t>
      </w:r>
    </w:p>
    <w:p>
      <w:pPr>
        <w:spacing w:after="100" w:line="269" w:lineRule="auto"/>
      </w:pPr>
      <w:r>
        <w:rPr>
          <w:rFonts w:ascii="Liberation Sans" w:hAnsi="Liberation Sans"/>
          <w:i w:val="0"/>
          <w:color w:val="000000"/>
        </w:rPr>
        <w:t>The problem becomes acute when capability and system access exceed authorised use. A model may be capable of composing an instruction that would produce a critical consequence, while the deployed function should have no credential, tool path or procedural authority to issue it. Governance must therefore express both the intended permission and its enforcement. ISO/IEC TS 8200:2024 treats controllability as a set of capabilities that includes state observability, state transition, control transfer, reaction to uncertainty and verification and validation (ISO, 2024). The EU AI Act likewise requires effective human oversight for high-risk AI systems and attention to automation bias, intervention and the ability to stop or interrupt operation (European Parliament and Council of the European Union, 2024, Article 14). These requirements concern meaningful control, but they do not themselves provide a compact cross-functional consequence-permission notation.</w:t>
      </w:r>
    </w:p>
    <w:p>
      <w:pPr>
        <w:spacing w:after="100" w:line="269" w:lineRule="auto"/>
      </w:pPr>
      <w:r>
        <w:rPr>
          <w:rFonts w:ascii="Liberation Sans" w:hAnsi="Liberation Sans"/>
          <w:i w:val="0"/>
          <w:color w:val="000000"/>
        </w:rPr>
        <w:t>A further difficulty is that the relationship is not necessarily monotonic. C4 does not mean every function must be Excluded. A safety-monitoring function may appropriately observe C4 conditions, and an emergency control may be authorised to initiate a narrowly defined protective stop. Equally, a function may be excluded from a particular C2 activity because it involves a prohibited purpose, sensitive attribute or contractual restriction. Permission must therefore be assigned by defined function, domain and mode of interaction, rather than inferred automatically from class severity.</w:t>
      </w:r>
    </w:p>
    <w:p>
      <w:pPr>
        <w:pStyle w:val="Heading1"/>
        <w:keepNext/>
      </w:pPr>
      <w:r>
        <w:rPr>
          <w:rFonts w:ascii="Liberation Sans" w:hAnsi="Liberation Sans"/>
          <w:b/>
          <w:color w:val="000000"/>
        </w:rPr>
        <w:t>5 The Consequence Permission Matrix</w:t>
      </w:r>
    </w:p>
    <w:p>
      <w:pPr>
        <w:pStyle w:val="Heading2"/>
        <w:keepNext/>
      </w:pPr>
      <w:r>
        <w:rPr>
          <w:rFonts w:ascii="Liberation Sans" w:hAnsi="Liberation Sans"/>
          <w:b/>
          <w:color w:val="000000"/>
        </w:rPr>
        <w:t>5.1 Definition and unit of analysis</w:t>
      </w:r>
    </w:p>
    <w:p>
      <w:pPr>
        <w:spacing w:after="100" w:line="269" w:lineRule="auto"/>
      </w:pPr>
      <w:r>
        <w:rPr>
          <w:rFonts w:ascii="Liberation Sans" w:hAnsi="Liberation Sans"/>
          <w:i w:val="0"/>
          <w:color w:val="000000"/>
        </w:rPr>
        <w:t>The Consequence Permission Matrix is a function-specific profile that assigns one permission state to each applicable consequence class. It answers: for this defined function, in this domain and operating context, what mode of contact with each consequence class is permitted? The CPM is not a fourth autonomy scale and it is not a substitute for MORAL. It is the permission view within the wider governance description.</w:t>
      </w:r>
    </w:p>
    <w:p>
      <w:pPr>
        <w:spacing w:after="100" w:line="269" w:lineRule="auto"/>
      </w:pPr>
      <w:r>
        <w:rPr>
          <w:rFonts w:ascii="Liberation Sans" w:hAnsi="Liberation Sans"/>
          <w:i w:val="0"/>
          <w:color w:val="000000"/>
        </w:rPr>
        <w:t>A function 'touches' a consequence class when it can access, influence, alter, authorise or commit a process whose credible adverse effect falls within that class. Touch includes direct action and a material contribution to action. It also includes the aggregate effect of repeated lower-consequence actions when that accumulation can credibly cross a class boundary. Mere exposure to information is not always harmless: observation can influence downstream decisions, enable profiling or create confidentiality and security risks. The relevant mode must therefore be specified.</w:t>
      </w:r>
    </w:p>
    <w:p>
      <w:pPr>
        <w:pStyle w:val="Heading2"/>
        <w:keepNext/>
      </w:pPr>
      <w:r>
        <w:rPr>
          <w:rFonts w:ascii="Liberation Sans" w:hAnsi="Liberation Sans"/>
          <w:b/>
          <w:color w:val="000000"/>
        </w:rPr>
        <w:t>5.2 Permission states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37"/>
        <w:gridCol w:w="3137"/>
        <w:gridCol w:w="3137"/>
      </w:tblGrid>
      <w:tr>
        <w:trPr>
          <w:tblHeader w:val="true"/>
        </w:trPr>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Code</w:t>
            </w:r>
          </w:p>
        </w:tc>
        <w:tc>
          <w:tcPr>
            <w:tcW w:type="dxa" w:w="1928"/>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Permission</w:t>
            </w:r>
          </w:p>
        </w:tc>
        <w:tc>
          <w:tcPr>
            <w:tcW w:type="dxa" w:w="6236"/>
            <w:shd w:fill="333333"/>
            <w:vAlign w:val="center"/>
            <w:tcMar>
              <w:top w:w="100" w:type="dxa"/>
              <w:start w:w="120" w:type="dxa"/>
              <w:bottom w:w="100" w:type="dxa"/>
              <w:end w:w="120" w:type="dxa"/>
            </w:tcMar>
          </w:tcPr>
          <w:p>
            <w:pPr>
              <w:spacing w:after="0"/>
              <w:jc w:val="center"/>
            </w:pPr>
            <w:r>
              <w:rPr>
                <w:rFonts w:ascii="Liberation Sans" w:hAnsi="Liberation Sans"/>
                <w:b/>
                <w:color w:val="FFFFFF"/>
                <w:sz w:val="17"/>
              </w:rPr>
              <w:t>Meaning and required boundary</w:t>
            </w:r>
          </w:p>
        </w:tc>
      </w:tr>
      <w:tr>
        <w:tc>
          <w:tcPr>
            <w:tcW w:type="dxa" w:w="1020"/>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A</w:t>
            </w:r>
          </w:p>
        </w:tc>
        <w:tc>
          <w:tcPr>
            <w:tcW w:type="dxa" w:w="1928"/>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Authorised</w:t>
            </w:r>
          </w:p>
        </w:tc>
        <w:tc>
          <w:tcPr>
            <w:tcW w:type="dxa" w:w="6236"/>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The function may act within this consequence class, subject to its declared OAL, purpose, authority limits, aggregate limits and control conditions.</w:t>
            </w:r>
          </w:p>
        </w:tc>
      </w:tr>
      <w:tr>
        <w:tc>
          <w:tcPr>
            <w:tcW w:type="dxa" w:w="1020"/>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H</w:t>
            </w:r>
          </w:p>
        </w:tc>
        <w:tc>
          <w:tcPr>
            <w:tcW w:type="dxa" w:w="192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Human-gated</w:t>
            </w:r>
          </w:p>
        </w:tc>
        <w:tc>
          <w:tcPr>
            <w:tcW w:type="dxa" w:w="6236"/>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The function may analyse, recommend or prepare an action, but an identified human must make an informed and timely authorisation before consequential state change.</w:t>
            </w:r>
          </w:p>
        </w:tc>
      </w:tr>
      <w:tr>
        <w:tc>
          <w:tcPr>
            <w:tcW w:type="dxa" w:w="1020"/>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7"/>
              </w:rPr>
              <w:t>M</w:t>
            </w:r>
          </w:p>
        </w:tc>
        <w:tc>
          <w:tcPr>
            <w:tcW w:type="dxa" w:w="1928"/>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Monitor only</w:t>
            </w:r>
          </w:p>
        </w:tc>
        <w:tc>
          <w:tcPr>
            <w:tcW w:type="dxa" w:w="6236"/>
            <w:vAlign w:val="center"/>
            <w:tcMar>
              <w:top w:w="100" w:type="dxa"/>
              <w:start w:w="120" w:type="dxa"/>
              <w:bottom w:w="100" w:type="dxa"/>
              <w:end w:w="120" w:type="dxa"/>
            </w:tcMar>
          </w:tcPr>
          <w:p>
            <w:pPr>
              <w:spacing w:after="0" w:line="252" w:lineRule="auto"/>
              <w:jc w:val="left"/>
            </w:pPr>
            <w:r>
              <w:rPr>
                <w:rFonts w:ascii="Liberation Sans" w:hAnsi="Liberation Sans"/>
                <w:color w:val="000000"/>
                <w:sz w:val="17"/>
              </w:rPr>
              <w:t>The function may observe, detect and alert. It cannot alter, authorise, commit or materially steer the consequential process.</w:t>
            </w:r>
          </w:p>
        </w:tc>
      </w:tr>
      <w:tr>
        <w:tc>
          <w:tcPr>
            <w:tcW w:type="dxa" w:w="1020"/>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7"/>
              </w:rPr>
              <w:t>X</w:t>
            </w:r>
          </w:p>
        </w:tc>
        <w:tc>
          <w:tcPr>
            <w:tcW w:type="dxa" w:w="192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Excluded</w:t>
            </w:r>
          </w:p>
        </w:tc>
        <w:tc>
          <w:tcPr>
            <w:tcW w:type="dxa" w:w="6236"/>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7"/>
              </w:rPr>
              <w:t>The function has no authorised operational route to this class. Technical, procedural and organisational controls should enforce the exclusion.</w:t>
            </w:r>
          </w:p>
        </w:tc>
      </w:tr>
    </w:tbl>
    <w:p>
      <w:pPr>
        <w:spacing w:after="20"/>
      </w:pPr>
    </w:p>
    <w:p>
      <w:pPr>
        <w:spacing w:after="100" w:line="269" w:lineRule="auto"/>
      </w:pPr>
      <w:r>
        <w:rPr>
          <w:rFonts w:ascii="Liberation Sans" w:hAnsi="Liberation Sans"/>
          <w:i w:val="0"/>
          <w:color w:val="000000"/>
        </w:rPr>
        <w:t>The states are modes, not grades of goodness. Human-gated is not automatically safer than Authorised: the gate may be ineffective, delayed or subject to automation bias. Monitor only is not risk-free: surveillance, inference and alerting can themselves create effects. Excluded is not the same as OAL-0, because OAL-0 still describes a tool available for human-directed use; Excluded means that the function is outside the permitted operational route for that consequence interaction.</w:t>
      </w:r>
    </w:p>
    <w:p>
      <w:pPr>
        <w:pStyle w:val="Heading2"/>
        <w:keepNext/>
      </w:pPr>
      <w:r>
        <w:rPr>
          <w:rFonts w:ascii="Liberation Sans" w:hAnsi="Liberation Sans"/>
          <w:b/>
          <w:color w:val="000000"/>
        </w:rPr>
        <w:t>5.3 Matrix representation</w:t>
      </w:r>
    </w:p>
    <w:p>
      <w:pPr>
        <w:keepNext/>
        <w:jc w:val="center"/>
      </w:pPr>
      <w:r>
        <w:drawing>
          <wp:inline xmlns:a="http://schemas.openxmlformats.org/drawingml/2006/main" xmlns:pic="http://schemas.openxmlformats.org/drawingml/2006/picture">
            <wp:extent cx="5940000" cy="4455000"/>
            <wp:docPr id="1" name="Picture 1" descr="Consequence Permission Matrix with consequence classes C1 to C4 as columns and permission modes Authorised, Human-gated, Monitor only and Excluded as rows." title="Steiner Consequence Permission Matrix for AI"/>
            <wp:cNvGraphicFramePr>
              <a:graphicFrameLocks noChangeAspect="1"/>
            </wp:cNvGraphicFramePr>
            <a:graphic>
              <a:graphicData uri="http://schemas.openxmlformats.org/drawingml/2006/picture">
                <pic:pic>
                  <pic:nvPicPr>
                    <pic:cNvPr id="0" name="Steiner_Consequence_Permission_Matrix.png"/>
                    <pic:cNvPicPr/>
                  </pic:nvPicPr>
                  <pic:blipFill>
                    <a:blip r:embed="rId9"/>
                    <a:stretch>
                      <a:fillRect/>
                    </a:stretch>
                  </pic:blipFill>
                  <pic:spPr>
                    <a:xfrm>
                      <a:off x="0" y="0"/>
                      <a:ext cx="5940000" cy="4455000"/>
                    </a:xfrm>
                    <a:prstGeom prst="rect"/>
                  </pic:spPr>
                </pic:pic>
              </a:graphicData>
            </a:graphic>
          </wp:inline>
        </w:drawing>
      </w:r>
    </w:p>
    <w:p>
      <w:pPr>
        <w:pStyle w:val="Caption"/>
        <w:jc w:val="center"/>
      </w:pPr>
      <w:r>
        <w:rPr>
          <w:rFonts w:ascii="Liberation Sans" w:hAnsi="Liberation Sans"/>
          <w:i/>
          <w:color w:val="000000"/>
          <w:sz w:val="18"/>
        </w:rPr>
        <w:t>Figure 1  Consequence Permission Matrix. Matrix positions identify the permitted mode by which a defined function may touch each consequence class. They are descriptive governance controls, not certifications of safety or acceptability.</w:t>
      </w:r>
    </w:p>
    <w:p>
      <w:pPr>
        <w:spacing w:after="100" w:line="269" w:lineRule="auto"/>
      </w:pPr>
      <w:r>
        <w:rPr>
          <w:rFonts w:ascii="Liberation Sans" w:hAnsi="Liberation Sans"/>
          <w:i w:val="0"/>
          <w:color w:val="000000"/>
        </w:rPr>
        <w:t>A CPM profile is written as an ordered set across C1 to C4. For example, a payments function recorded as C1 A, C2 A, C3 H, C4 X may act autonomously within declared limits for limited and material consequences, requires informed human approval for major consequences and has no authorised route to critical consequences. The profile remains incomplete without the function definition, domain, OAL, authority limits, aggregate exposure window, reversibility assumptions and named accountable owner.</w:t>
      </w:r>
    </w:p>
    <w:p>
      <w:pPr>
        <w:pStyle w:val="Heading2"/>
        <w:keepNext/>
      </w:pPr>
      <w:r>
        <w:rPr>
          <w:rFonts w:ascii="Liberation Sans" w:hAnsi="Liberation Sans"/>
          <w:b/>
          <w:color w:val="000000"/>
        </w:rPr>
        <w:t>5.4 Interaction with OAL</w:t>
      </w:r>
    </w:p>
    <w:p>
      <w:pPr>
        <w:spacing w:after="100" w:line="269" w:lineRule="auto"/>
      </w:pPr>
      <w:r>
        <w:rPr>
          <w:rFonts w:ascii="Liberation Sans" w:hAnsi="Liberation Sans"/>
          <w:i w:val="0"/>
          <w:color w:val="000000"/>
        </w:rPr>
        <w:t>OAL and CPM answer different questions and should be read together. OAL describes how independently the function may operate. CPM describes whether and how it may interact with each consequence class. Where they conflict, the more restrictive permission governs. An Authorised cell retains the declared OAL within the stated limits. A Human-gated cell caps the consequential commitment at OAL-2 because explicit approval is required. A Monitor-only cell permits observation and alerting but no consequential commitment, approximating an OAL-1 role for that interaction. An Excluded cell removes the operational route rather than assigning a lower autonomy level.</w:t>
      </w:r>
    </w:p>
    <w:p>
      <w:r>
        <w:br w:type="page"/>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37"/>
        <w:gridCol w:w="3137"/>
        <w:gridCol w:w="3137"/>
      </w:tblGrid>
      <w:tr>
        <w:trPr>
          <w:tblHeader w:val="true"/>
        </w:trPr>
        <w:tc>
          <w:tcPr>
            <w:tcW w:type="dxa" w:w="1361"/>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CPM state</w:t>
            </w:r>
          </w:p>
        </w:tc>
        <w:tc>
          <w:tcPr>
            <w:tcW w:type="dxa" w:w="3685"/>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Effect on declared OAL</w:t>
            </w:r>
          </w:p>
        </w:tc>
        <w:tc>
          <w:tcPr>
            <w:tcW w:type="dxa" w:w="4139"/>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Control implication</w:t>
            </w:r>
          </w:p>
        </w:tc>
      </w:tr>
      <w:tr>
        <w:tc>
          <w:tcPr>
            <w:tcW w:type="dxa" w:w="1361"/>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A</w:t>
            </w:r>
          </w:p>
        </w:tc>
        <w:tc>
          <w:tcPr>
            <w:tcW w:type="dxa" w:w="3685"/>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Declared OAL remains available within limits.</w:t>
            </w:r>
          </w:p>
        </w:tc>
        <w:tc>
          <w:tcPr>
            <w:tcW w:type="dxa" w:w="4139"/>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Credentials, tools and monitoring must match the authorised mandate.</w:t>
            </w:r>
          </w:p>
        </w:tc>
      </w:tr>
      <w:tr>
        <w:tc>
          <w:tcPr>
            <w:tcW w:type="dxa" w:w="1361"/>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H</w:t>
            </w:r>
          </w:p>
        </w:tc>
        <w:tc>
          <w:tcPr>
            <w:tcW w:type="dxa" w:w="3685"/>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Commitment is capped at approval-gated operation.</w:t>
            </w:r>
          </w:p>
        </w:tc>
        <w:tc>
          <w:tcPr>
            <w:tcW w:type="dxa" w:w="4139"/>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Approval must be attributable, informed, timely and technically required.</w:t>
            </w:r>
          </w:p>
        </w:tc>
      </w:tr>
      <w:tr>
        <w:tc>
          <w:tcPr>
            <w:tcW w:type="dxa" w:w="1361"/>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M</w:t>
            </w:r>
          </w:p>
        </w:tc>
        <w:tc>
          <w:tcPr>
            <w:tcW w:type="dxa" w:w="3685"/>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Only observation, detection and alerting are permitted.</w:t>
            </w:r>
          </w:p>
        </w:tc>
        <w:tc>
          <w:tcPr>
            <w:tcW w:type="dxa" w:w="4139"/>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Write, commit and steering paths must be unavailable or blocked.</w:t>
            </w:r>
          </w:p>
        </w:tc>
      </w:tr>
      <w:tr>
        <w:tc>
          <w:tcPr>
            <w:tcW w:type="dxa" w:w="1361"/>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X</w:t>
            </w:r>
          </w:p>
        </w:tc>
        <w:tc>
          <w:tcPr>
            <w:tcW w:type="dxa" w:w="3685"/>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No permitted operational level for that interaction.</w:t>
            </w:r>
          </w:p>
        </w:tc>
        <w:tc>
          <w:tcPr>
            <w:tcW w:type="dxa" w:w="4139"/>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Prevent access and test the absence of indirect or inherited routes.</w:t>
            </w:r>
          </w:p>
        </w:tc>
      </w:tr>
    </w:tbl>
    <w:p>
      <w:pPr>
        <w:spacing w:after="20"/>
      </w:pPr>
    </w:p>
    <w:p>
      <w:pPr>
        <w:spacing w:after="100" w:line="269" w:lineRule="auto"/>
      </w:pPr>
      <w:r>
        <w:rPr>
          <w:rFonts w:ascii="Liberation Sans" w:hAnsi="Liberation Sans"/>
          <w:i w:val="0"/>
          <w:color w:val="000000"/>
        </w:rPr>
        <w:t>The combined rule can be stated without creating a composite score: operational permission is the intersection of the declared OAL, the CPM state and all stated limits. The lowest applicable boundary governs a proposed action. This rule preserves the interpretability of each component and avoids suggesting that qualitatively different controls can be arithmetically averaged.</w:t>
      </w:r>
    </w:p>
    <w:p>
      <w:pPr>
        <w:pStyle w:val="Heading2"/>
        <w:keepNext/>
      </w:pPr>
      <w:r>
        <w:rPr>
          <w:rFonts w:ascii="Liberation Sans" w:hAnsi="Liberation Sans"/>
          <w:b/>
          <w:color w:val="000000"/>
        </w:rPr>
        <w:t>5.5 Domain specificity and aggregate exposure</w:t>
      </w:r>
    </w:p>
    <w:p>
      <w:pPr>
        <w:spacing w:after="100" w:line="269" w:lineRule="auto"/>
      </w:pPr>
      <w:r>
        <w:rPr>
          <w:rFonts w:ascii="Liberation Sans" w:hAnsi="Liberation Sans"/>
          <w:i w:val="0"/>
          <w:color w:val="000000"/>
        </w:rPr>
        <w:t>A CPM should be created for a defined function and domain, not assigned once to an entire model. The same model may support several functions with different purposes, users, data, tools and affected parties. A generic model-level CPM would imply permissions that the model itself cannot possess and would obscure the organisation that grants and enforces authority.</w:t>
      </w:r>
    </w:p>
    <w:p>
      <w:pPr>
        <w:spacing w:after="100" w:line="269" w:lineRule="auto"/>
      </w:pPr>
      <w:r>
        <w:rPr>
          <w:rFonts w:ascii="Liberation Sans" w:hAnsi="Liberation Sans"/>
          <w:i w:val="0"/>
          <w:color w:val="000000"/>
        </w:rPr>
        <w:t>Class assignment must also consider accumulation. A refund of £20 may be C1 in isolation, but ten thousand refunds may create major financial and customer consequences. A sequence of modest scheduling decisions may systematically disadvantage a group. CPM states therefore operate with MORAL's individual and aggregate limits. The deployment record should specify the measurement window, thresholds, reset conditions and action to be taken when cumulative exposure approaches a higher class.</w:t>
      </w:r>
    </w:p>
    <w:p>
      <w:pPr>
        <w:pStyle w:val="Heading1"/>
        <w:keepNext/>
      </w:pPr>
      <w:r>
        <w:rPr>
          <w:rFonts w:ascii="Liberation Sans" w:hAnsi="Liberation Sans"/>
          <w:b/>
          <w:color w:val="000000"/>
        </w:rPr>
        <w:t>6 Application examples</w:t>
      </w:r>
    </w:p>
    <w:p>
      <w:pPr>
        <w:spacing w:after="100" w:line="269" w:lineRule="auto"/>
      </w:pPr>
      <w:r>
        <w:rPr>
          <w:rFonts w:ascii="Liberation Sans" w:hAnsi="Liberation Sans"/>
          <w:i w:val="0"/>
          <w:color w:val="000000"/>
        </w:rPr>
        <w:t>The following examples illustrate the notation rather than prescribe sectoral decisions. Classification depends on applicable law, institutional purpose, affected populations and the credibility of adverse outcomes. Each row represents one function, not an entire AI system.</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569"/>
        <w:gridCol w:w="1569"/>
        <w:gridCol w:w="1569"/>
        <w:gridCol w:w="1569"/>
        <w:gridCol w:w="1569"/>
        <w:gridCol w:w="1569"/>
      </w:tblGrid>
      <w:tr>
        <w:trPr>
          <w:tblHeader w:val="true"/>
        </w:trPr>
        <w:tc>
          <w:tcPr>
            <w:tcW w:type="dxa" w:w="4082"/>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Domain and function</w:t>
            </w:r>
          </w:p>
        </w:tc>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OAL</w:t>
            </w:r>
          </w:p>
        </w:tc>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C1</w:t>
            </w:r>
          </w:p>
        </w:tc>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C2</w:t>
            </w:r>
          </w:p>
        </w:tc>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C3</w:t>
            </w:r>
          </w:p>
        </w:tc>
        <w:tc>
          <w:tcPr>
            <w:tcW w:type="dxa" w:w="1020"/>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C4</w:t>
            </w:r>
          </w:p>
        </w:tc>
      </w:tr>
      <w:tr>
        <w:tc>
          <w:tcPr>
            <w:tcW w:type="dxa" w:w="4082"/>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Finance  routine supplier payments</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4</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H</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X</w:t>
            </w:r>
          </w:p>
        </w:tc>
      </w:tr>
      <w:tr>
        <w:tc>
          <w:tcPr>
            <w:tcW w:type="dxa" w:w="4082"/>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Procurement  supplier discovery</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3</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M</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X</w:t>
            </w:r>
          </w:p>
        </w:tc>
      </w:tr>
      <w:tr>
        <w:tc>
          <w:tcPr>
            <w:tcW w:type="dxa" w:w="4082"/>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Manufacturing  process optimisation</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4</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H</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M</w:t>
            </w:r>
          </w:p>
        </w:tc>
      </w:tr>
      <w:tr>
        <w:tc>
          <w:tcPr>
            <w:tcW w:type="dxa" w:w="4082"/>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Healthcare  appointment prioritisation</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2</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H</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H</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X</w:t>
            </w:r>
          </w:p>
        </w:tc>
      </w:tr>
      <w:tr>
        <w:tc>
          <w:tcPr>
            <w:tcW w:type="dxa" w:w="4082"/>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Employment  candidate screening support</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1</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M</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M</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X</w:t>
            </w:r>
          </w:p>
        </w:tc>
        <w:tc>
          <w:tcPr>
            <w:tcW w:type="dxa" w:w="1020"/>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X</w:t>
            </w:r>
          </w:p>
        </w:tc>
      </w:tr>
      <w:tr>
        <w:tc>
          <w:tcPr>
            <w:tcW w:type="dxa" w:w="4082"/>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Cybersecurity  emergency isolation</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4</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A</w:t>
            </w:r>
          </w:p>
        </w:tc>
        <w:tc>
          <w:tcPr>
            <w:tcW w:type="dxa" w:w="1020"/>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H</w:t>
            </w:r>
          </w:p>
        </w:tc>
      </w:tr>
    </w:tbl>
    <w:p>
      <w:pPr>
        <w:spacing w:after="20"/>
      </w:pPr>
    </w:p>
    <w:p>
      <w:pPr>
        <w:pStyle w:val="ListBullet"/>
        <w:spacing w:after="60" w:line="259" w:lineRule="auto"/>
        <w:ind w:left="397" w:hanging="170"/>
      </w:pPr>
      <w:r>
        <w:rPr>
          <w:rFonts w:ascii="Liberation Sans" w:hAnsi="Liberation Sans"/>
          <w:color w:val="000000"/>
        </w:rPr>
        <w:t>Finance: routine payments may proceed within value and aggregate limits; major exposure requires approval; critical transfers are outside the mandate.</w:t>
      </w:r>
    </w:p>
    <w:p>
      <w:pPr>
        <w:pStyle w:val="ListBullet"/>
        <w:spacing w:after="60" w:line="259" w:lineRule="auto"/>
        <w:ind w:left="397" w:hanging="170"/>
      </w:pPr>
      <w:r>
        <w:rPr>
          <w:rFonts w:ascii="Liberation Sans" w:hAnsi="Liberation Sans"/>
          <w:color w:val="000000"/>
        </w:rPr>
        <w:t>Procurement: the function may search and shortlist; it may observe major-risk indicators but cannot exclude a strategic supplier or create a critical dependency.</w:t>
      </w:r>
    </w:p>
    <w:p>
      <w:pPr>
        <w:pStyle w:val="ListBullet"/>
        <w:spacing w:after="60" w:line="259" w:lineRule="auto"/>
        <w:ind w:left="397" w:hanging="170"/>
      </w:pPr>
      <w:r>
        <w:rPr>
          <w:rFonts w:ascii="Liberation Sans" w:hAnsi="Liberation Sans"/>
          <w:color w:val="000000"/>
        </w:rPr>
        <w:t>Manufacturing: normal parameters may be adjusted; major production changes require approval; safety-critical conditions may be monitored but not altered.</w:t>
      </w:r>
    </w:p>
    <w:p>
      <w:pPr>
        <w:pStyle w:val="ListBullet"/>
        <w:spacing w:after="60" w:line="259" w:lineRule="auto"/>
        <w:ind w:left="397" w:hanging="170"/>
      </w:pPr>
      <w:r>
        <w:rPr>
          <w:rFonts w:ascii="Liberation Sans" w:hAnsi="Liberation Sans"/>
          <w:color w:val="000000"/>
        </w:rPr>
        <w:t>Healthcare: administrative support is allowed; changes affecting access or clinical urgency require accountable review; critical treatment authority is excluded.</w:t>
      </w:r>
    </w:p>
    <w:p>
      <w:pPr>
        <w:pStyle w:val="ListBullet"/>
        <w:spacing w:after="60" w:line="259" w:lineRule="auto"/>
        <w:ind w:left="397" w:hanging="170"/>
      </w:pPr>
      <w:r>
        <w:rPr>
          <w:rFonts w:ascii="Liberation Sans" w:hAnsi="Liberation Sans"/>
          <w:color w:val="000000"/>
        </w:rPr>
        <w:t>Employment: the function may surface job-relevant information for review but may not rank, reject or make employment decisions.</w:t>
      </w:r>
    </w:p>
    <w:p>
      <w:pPr>
        <w:pStyle w:val="ListBullet"/>
        <w:spacing w:after="60" w:line="259" w:lineRule="auto"/>
        <w:ind w:left="397" w:hanging="170"/>
      </w:pPr>
      <w:r>
        <w:rPr>
          <w:rFonts w:ascii="Liberation Sans" w:hAnsi="Liberation Sans"/>
          <w:color w:val="000000"/>
        </w:rPr>
        <w:t>Cybersecurity: bounded protective action may be justified for major incidents; isolation with critical-infrastructure impact requires human authorisation where time permits.</w:t>
      </w:r>
    </w:p>
    <w:p>
      <w:pPr>
        <w:pStyle w:val="Heading2"/>
        <w:keepNext/>
      </w:pPr>
      <w:r>
        <w:rPr>
          <w:rFonts w:ascii="Liberation Sans" w:hAnsi="Liberation Sans"/>
          <w:b/>
          <w:color w:val="000000"/>
        </w:rPr>
        <w:t>6.1 Worked payments example</w:t>
      </w:r>
    </w:p>
    <w:p>
      <w:pPr>
        <w:spacing w:after="100" w:line="269" w:lineRule="auto"/>
      </w:pPr>
      <w:r>
        <w:rPr>
          <w:rFonts w:ascii="Liberation Sans" w:hAnsi="Liberation Sans"/>
          <w:i w:val="0"/>
          <w:color w:val="000000"/>
        </w:rPr>
        <w:t>Assume a payments agent has OAL-4 for a narrowly defined supplier-payment function. Its mandate permits C1 and C2 payments within verified invoices, named suppliers, transaction limits and a rolling daily cap. It may assemble and recommend a C3 payment, but an accountable finance officer must approve it through a separate control path. C4 transactions are Excluded: the agent lacks the credential and tool route needed to create or release them. The CPM is therefore C1 A, C2 A, C3 H, C4 X.</w:t>
      </w:r>
    </w:p>
    <w:p>
      <w:pPr>
        <w:spacing w:after="100" w:line="269" w:lineRule="auto"/>
      </w:pPr>
      <w:r>
        <w:rPr>
          <w:rFonts w:ascii="Liberation Sans" w:hAnsi="Liberation Sans"/>
          <w:i w:val="0"/>
          <w:color w:val="000000"/>
        </w:rPr>
        <w:t>The example shows why OAL-4 alone is not a sufficient description. The agent is highly independent within a restricted consequence territory. It is not generally authorised for every payment it is technically capable of composing. The governance record must also state what happens when repeated C2 payments cross the aggregate threshold, how supplier identity is verified, how anomalous payment patterns are detected, and which person owns the approval and incident response processes.</w:t>
      </w:r>
    </w:p>
    <w:p>
      <w:pPr>
        <w:pStyle w:val="Heading2"/>
        <w:keepNext/>
      </w:pPr>
      <w:r>
        <w:rPr>
          <w:rFonts w:ascii="Liberation Sans" w:hAnsi="Liberation Sans"/>
          <w:b/>
          <w:color w:val="000000"/>
        </w:rPr>
        <w:t>6.2 Worked manufacturing example</w:t>
      </w:r>
    </w:p>
    <w:p>
      <w:pPr>
        <w:spacing w:after="100" w:line="269" w:lineRule="auto"/>
      </w:pPr>
      <w:r>
        <w:rPr>
          <w:rFonts w:ascii="Liberation Sans" w:hAnsi="Liberation Sans"/>
          <w:i w:val="0"/>
          <w:color w:val="000000"/>
        </w:rPr>
        <w:t>A process-optimisation function may continuously adjust temperature, speed or energy use within a validated operating envelope. Those changes may be C1 or C2 and Authorised at OAL-4. A proposed change that could cause costly downtime is C3 and Human-gated. The function may Monitor only for C4 safety conditions and trigger an alert or a separately engineered protective interlock, but it cannot rewrite safety thresholds. This separation prevents a performance objective from silently acquiring authority over a safety function.</w:t>
      </w:r>
    </w:p>
    <w:p>
      <w:pPr>
        <w:pStyle w:val="Heading2"/>
        <w:keepNext/>
      </w:pPr>
      <w:r>
        <w:rPr>
          <w:rFonts w:ascii="Liberation Sans" w:hAnsi="Liberation Sans"/>
          <w:b/>
          <w:color w:val="000000"/>
        </w:rPr>
        <w:t>6.3 Worked healthcare example</w:t>
      </w:r>
    </w:p>
    <w:p>
      <w:pPr>
        <w:spacing w:after="100" w:line="269" w:lineRule="auto"/>
      </w:pPr>
      <w:r>
        <w:rPr>
          <w:rFonts w:ascii="Liberation Sans" w:hAnsi="Liberation Sans"/>
          <w:i w:val="0"/>
          <w:color w:val="000000"/>
        </w:rPr>
        <w:t>An appointment-support function may autonomously send reminders and offer routine slots, while any action that changes clinical priority or materially affects access is Human-gated. Treatment decisions and critical escalation authority may be Excluded from the administrative function even if the underlying model can generate relevant language. This profile also illustrates that 'human in the loop' is too vague: the CPM specifies the class at which approval is required and the function from which authority is withheld.</w:t>
      </w:r>
    </w:p>
    <w:p>
      <w:pPr>
        <w:pStyle w:val="Heading1"/>
        <w:keepNext/>
      </w:pPr>
      <w:r>
        <w:rPr>
          <w:rFonts w:ascii="Liberation Sans" w:hAnsi="Liberation Sans"/>
          <w:b/>
          <w:color w:val="000000"/>
        </w:rPr>
        <w:t>7 Governance workflow</w:t>
      </w:r>
    </w:p>
    <w:p>
      <w:pPr>
        <w:spacing w:after="100" w:line="269" w:lineRule="auto"/>
      </w:pPr>
      <w:r>
        <w:rPr>
          <w:rFonts w:ascii="Liberation Sans" w:hAnsi="Liberation Sans"/>
          <w:i w:val="0"/>
          <w:color w:val="000000"/>
        </w:rPr>
        <w:t>A CPM should be produced during design and reviewed before deployment, but its value depends on integration with technical and organisational controls. A practical workflow comprises the following steps.</w:t>
      </w:r>
    </w:p>
    <w:p>
      <w:pPr>
        <w:pStyle w:val="ListBullet"/>
        <w:spacing w:after="60" w:line="259" w:lineRule="auto"/>
        <w:ind w:left="397" w:hanging="170"/>
      </w:pPr>
      <w:r>
        <w:rPr>
          <w:rFonts w:ascii="Liberation Sans" w:hAnsi="Liberation Sans"/>
          <w:color w:val="000000"/>
        </w:rPr>
        <w:t>Define the function narrowly, including purpose, users, affected parties, data, tools, credentials, downstream dependencies and prohibited uses.</w:t>
      </w:r>
    </w:p>
    <w:p>
      <w:pPr>
        <w:pStyle w:val="ListBullet"/>
        <w:spacing w:after="60" w:line="259" w:lineRule="auto"/>
        <w:ind w:left="397" w:hanging="170"/>
      </w:pPr>
      <w:r>
        <w:rPr>
          <w:rFonts w:ascii="Liberation Sans" w:hAnsi="Liberation Sans"/>
          <w:color w:val="000000"/>
        </w:rPr>
        <w:t>Assign its OAL from observed and intended behaviour, distinguishing recommendation, preparation, execution and goal-setting authority.</w:t>
      </w:r>
    </w:p>
    <w:p>
      <w:pPr>
        <w:pStyle w:val="ListBullet"/>
        <w:spacing w:after="60" w:line="259" w:lineRule="auto"/>
        <w:ind w:left="397" w:hanging="170"/>
      </w:pPr>
      <w:r>
        <w:rPr>
          <w:rFonts w:ascii="Liberation Sans" w:hAnsi="Liberation Sans"/>
          <w:color w:val="000000"/>
        </w:rPr>
        <w:t>Identify credible adverse consequences for individual actions and cumulative operation, then assign C1 to C4 using domain evidence and legal advice where required.</w:t>
      </w:r>
    </w:p>
    <w:p>
      <w:pPr>
        <w:pStyle w:val="ListBullet"/>
        <w:spacing w:after="60" w:line="259" w:lineRule="auto"/>
        <w:ind w:left="397" w:hanging="170"/>
      </w:pPr>
      <w:r>
        <w:rPr>
          <w:rFonts w:ascii="Liberation Sans" w:hAnsi="Liberation Sans"/>
          <w:color w:val="000000"/>
        </w:rPr>
        <w:t>Assign A, H, M or X for each applicable class. Record the rationale, accountable owner, approval route and evidence required to change the state.</w:t>
      </w:r>
    </w:p>
    <w:p>
      <w:pPr>
        <w:pStyle w:val="ListBullet"/>
        <w:spacing w:after="60" w:line="259" w:lineRule="auto"/>
        <w:ind w:left="397" w:hanging="170"/>
      </w:pPr>
      <w:r>
        <w:rPr>
          <w:rFonts w:ascii="Liberation Sans" w:hAnsi="Liberation Sans"/>
          <w:color w:val="000000"/>
        </w:rPr>
        <w:t>Translate the profile into enforceable controls such as least-privilege credentials, transaction limits, separate approval channels, write restrictions, tool allow-lists, rate limits and emergency stops.</w:t>
      </w:r>
    </w:p>
    <w:p>
      <w:pPr>
        <w:pStyle w:val="ListBullet"/>
        <w:spacing w:after="60" w:line="259" w:lineRule="auto"/>
        <w:ind w:left="397" w:hanging="170"/>
      </w:pPr>
      <w:r>
        <w:rPr>
          <w:rFonts w:ascii="Liberation Sans" w:hAnsi="Liberation Sans"/>
          <w:color w:val="000000"/>
        </w:rPr>
        <w:t>Test normal operation, boundary cases, indirect routes, prompt manipulation, tool misuse, approval bypass, aggregation and failure of monitoring or human response.</w:t>
      </w:r>
    </w:p>
    <w:p>
      <w:pPr>
        <w:pStyle w:val="ListBullet"/>
        <w:spacing w:after="60" w:line="259" w:lineRule="auto"/>
        <w:ind w:left="397" w:hanging="170"/>
      </w:pPr>
      <w:r>
        <w:rPr>
          <w:rFonts w:ascii="Liberation Sans" w:hAnsi="Liberation Sans"/>
          <w:color w:val="000000"/>
        </w:rPr>
        <w:t>Monitor drift in capability, data, environment, users and consequence exposure. Reassess the CPM after material changes, incidents or evidence that a class boundary is unreliable.</w:t>
      </w:r>
    </w:p>
    <w:p>
      <w:pPr>
        <w:pStyle w:val="ListBullet"/>
        <w:spacing w:after="60" w:line="259" w:lineRule="auto"/>
        <w:ind w:left="397" w:hanging="170"/>
      </w:pPr>
      <w:r>
        <w:rPr>
          <w:rFonts w:ascii="Liberation Sans" w:hAnsi="Liberation Sans"/>
          <w:color w:val="000000"/>
        </w:rPr>
        <w:t>Retain an auditable record of versions, decisions, exceptions, approvals and residual risk acceptance.</w:t>
      </w:r>
    </w:p>
    <w:p>
      <w:pPr>
        <w:spacing w:after="100" w:line="269" w:lineRule="auto"/>
      </w:pPr>
      <w:r>
        <w:rPr>
          <w:rFonts w:ascii="Liberation Sans" w:hAnsi="Liberation Sans"/>
          <w:i w:val="0"/>
          <w:color w:val="000000"/>
        </w:rPr>
        <w:t>The CPM should be linked to system documentation, access-control configuration, test evidence, incident procedures and management approval. A matrix that is not reflected in executable controls is only an aspiration. Conversely, controls without an intelligible permission statement are difficult to review, challenge or communicate. Internal auditing frameworks can help connect governance claims to evidence across the system lifecycle (Raji et al., 2020).</w:t>
      </w:r>
    </w:p>
    <w:p>
      <w:pPr>
        <w:pStyle w:val="Heading1"/>
        <w:keepNext/>
      </w:pPr>
      <w:r>
        <w:rPr>
          <w:rFonts w:ascii="Liberation Sans" w:hAnsi="Liberation Sans"/>
          <w:b/>
          <w:color w:val="000000"/>
        </w:rPr>
        <w:t>8 Assurance and accountability implications</w:t>
      </w:r>
    </w:p>
    <w:p>
      <w:pPr>
        <w:pStyle w:val="Heading2"/>
        <w:keepNext/>
      </w:pPr>
      <w:r>
        <w:rPr>
          <w:rFonts w:ascii="Liberation Sans" w:hAnsi="Liberation Sans"/>
          <w:b/>
          <w:color w:val="000000"/>
        </w:rPr>
        <w:t>8.1 Human gates must be effective</w:t>
      </w:r>
    </w:p>
    <w:p>
      <w:pPr>
        <w:spacing w:after="100" w:line="269" w:lineRule="auto"/>
      </w:pPr>
      <w:r>
        <w:rPr>
          <w:rFonts w:ascii="Liberation Sans" w:hAnsi="Liberation Sans"/>
          <w:i w:val="0"/>
          <w:color w:val="000000"/>
        </w:rPr>
        <w:t>A Human-gated cell requires more than a confirmation button. The approver must have sufficient time, information, competence and authority to disagree; the interface must reveal material uncertainty and alternatives; and the system must not commit the action before approval. Approval should be attributable and resistant to routine rubber-stamping. Where response time is safety-critical, the design may require a separate protective function rather than an unrealistic expectation of human intervention.</w:t>
      </w:r>
    </w:p>
    <w:p>
      <w:pPr>
        <w:pStyle w:val="Heading2"/>
        <w:keepNext/>
      </w:pPr>
      <w:r>
        <w:rPr>
          <w:rFonts w:ascii="Liberation Sans" w:hAnsi="Liberation Sans"/>
          <w:b/>
          <w:color w:val="000000"/>
        </w:rPr>
        <w:t>8.2 Exclusion must be enforced</w:t>
      </w:r>
    </w:p>
    <w:p>
      <w:pPr>
        <w:spacing w:after="100" w:line="269" w:lineRule="auto"/>
      </w:pPr>
      <w:r>
        <w:rPr>
          <w:rFonts w:ascii="Liberation Sans" w:hAnsi="Liberation Sans"/>
          <w:i w:val="0"/>
          <w:color w:val="000000"/>
        </w:rPr>
        <w:t>An Excluded cell should correspond to technical and procedural separation. Relevant controls may include removal of credentials, absence of a tool connector, network segmentation, immutable policy checks, dual control, independent interlocks and monitoring for attempted access. Assurance must examine indirect routes: an agent excluded from approving a loan may still materially determine the outcome if it controls the information presented to the approver. Sociotechnical analysis is necessary because abstraction can hide the institutional context and human practices through which automated outputs acquire force (Selbst et al., 2019).</w:t>
      </w:r>
    </w:p>
    <w:p>
      <w:pPr>
        <w:pStyle w:val="Heading2"/>
        <w:keepNext/>
      </w:pPr>
      <w:r>
        <w:rPr>
          <w:rFonts w:ascii="Liberation Sans" w:hAnsi="Liberation Sans"/>
          <w:b/>
          <w:color w:val="000000"/>
        </w:rPr>
        <w:t>8.3 Accountability remains human and organisational</w:t>
      </w:r>
    </w:p>
    <w:p>
      <w:pPr>
        <w:spacing w:after="100" w:line="269" w:lineRule="auto"/>
      </w:pPr>
      <w:r>
        <w:rPr>
          <w:rFonts w:ascii="Liberation Sans" w:hAnsi="Liberation Sans"/>
          <w:i w:val="0"/>
          <w:color w:val="000000"/>
        </w:rPr>
        <w:t>The CPM assigns permission to a deployed function; it does not transfer legal or moral accountability to the artefact. The organisation remains responsible for defining authority, appointing owners, enforcing controls and responding to harm. Responsibility may be distributed across designers, deployers, operators, managers and suppliers, but distribution should not become disappearance. The framework should therefore name the accountable owner for each function and the authority that approved each exception.</w:t>
      </w:r>
    </w:p>
    <w:p>
      <w:pPr>
        <w:pStyle w:val="Heading2"/>
        <w:keepNext/>
      </w:pPr>
      <w:r>
        <w:rPr>
          <w:rFonts w:ascii="Liberation Sans" w:hAnsi="Liberation Sans"/>
          <w:b/>
          <w:color w:val="000000"/>
        </w:rPr>
        <w:t>8.4 Change control</w:t>
      </w:r>
    </w:p>
    <w:p>
      <w:pPr>
        <w:spacing w:after="100" w:line="269" w:lineRule="auto"/>
      </w:pPr>
      <w:r>
        <w:rPr>
          <w:rFonts w:ascii="Liberation Sans" w:hAnsi="Liberation Sans"/>
          <w:i w:val="0"/>
          <w:color w:val="000000"/>
        </w:rPr>
        <w:t>Capability changes can alter the credibility of consequence pathways even when the nominal purpose remains the same. A model update may improve tool use, planning or persuasion; a new connector may create access to a previously excluded process; and operational scale may move aggregate exposure into a higher class. CPM review should therefore be triggered by changes in capability, tools, data, workflow, user population, jurisdiction, volume, incident history or consequence evidence. The relevant question is not whether the product name changed, but whether the function can now touch a different consequence territory or do so in a different mode.</w:t>
      </w:r>
    </w:p>
    <w:p>
      <w:pPr>
        <w:pStyle w:val="Heading1"/>
        <w:keepNext/>
      </w:pPr>
      <w:r>
        <w:rPr>
          <w:rFonts w:ascii="Liberation Sans" w:hAnsi="Liberation Sans"/>
          <w:b/>
          <w:color w:val="000000"/>
        </w:rPr>
        <w:t>9 Relationship to existing approaches</w:t>
      </w:r>
    </w:p>
    <w:p>
      <w:pPr>
        <w:spacing w:after="100" w:line="269" w:lineRule="auto"/>
      </w:pPr>
      <w:r>
        <w:rPr>
          <w:rFonts w:ascii="Liberation Sans" w:hAnsi="Liberation Sans"/>
          <w:i w:val="0"/>
          <w:color w:val="000000"/>
        </w:rPr>
        <w:t>The CPM complements rather than competes with existing approaches. Levels-of-automation research clarifies the distribution of roles between human and machine (Parasuraman, Sheridan and Wickens, 2000). Recent agent frameworks treat autonomy as a deliberate configuration and separate capability from allowed authority (Feng, McDonald and Zhang, 2025; Zheng et al., 2026). Human-AI governance work examines changing distributions of decision authority, process autonomy and accountability (Engin, 2025). Risk-management frameworks establish wider processes for mapping context, measuring risk and governing the lifecycle (NIST, 2023). Controllability standards address observation, transition, control transfer and reactions to uncertainty (ISO, 2024). Regulation establishes binding duties in specified contexts, including requirements for human oversight (European Parliament and Council of the European Union, 2024).</w:t>
      </w:r>
    </w:p>
    <w:p>
      <w:pPr>
        <w:spacing w:after="100" w:line="269" w:lineRule="auto"/>
      </w:pPr>
      <w:r>
        <w:rPr>
          <w:rFonts w:ascii="Liberation Sans" w:hAnsi="Liberation Sans"/>
          <w:i w:val="0"/>
          <w:color w:val="000000"/>
        </w:rPr>
        <w:t>The CPM's narrower purpose is to make consequence permission visible at the function level. It can be used as an input to those regimes: a risk assessment can justify the class and state; access controls can enforce them; an audit can test them; and a regulator or board can challenge them. The matrix is deliberately compact, but the evidence behind it should not be. Its value lies in traceability from a simple public statement to detailed internal controls and accountable decisions.</w:t>
      </w:r>
    </w:p>
    <w:p>
      <w:pPr>
        <w:pStyle w:val="Heading1"/>
        <w:keepNext/>
      </w:pPr>
      <w:r>
        <w:rPr>
          <w:rFonts w:ascii="Liberation Sans" w:hAnsi="Liberation Sans"/>
          <w:b/>
          <w:color w:val="000000"/>
        </w:rPr>
        <w:t>10 Proposed validation programme</w:t>
      </w:r>
    </w:p>
    <w:p>
      <w:pPr>
        <w:spacing w:after="100" w:line="269" w:lineRule="auto"/>
      </w:pPr>
      <w:r>
        <w:rPr>
          <w:rFonts w:ascii="Liberation Sans" w:hAnsi="Liberation Sans"/>
          <w:i w:val="0"/>
          <w:color w:val="000000"/>
        </w:rPr>
        <w:t>The framework should be treated as a research proposition until tested. A staged validation programme could examine five questions.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37"/>
        <w:gridCol w:w="3137"/>
        <w:gridCol w:w="3137"/>
      </w:tblGrid>
      <w:tr>
        <w:trPr>
          <w:tblHeader w:val="true"/>
        </w:trPr>
        <w:tc>
          <w:tcPr>
            <w:tcW w:type="dxa" w:w="1701"/>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Question</w:t>
            </w:r>
          </w:p>
        </w:tc>
        <w:tc>
          <w:tcPr>
            <w:tcW w:type="dxa" w:w="3798"/>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Suggested method</w:t>
            </w:r>
          </w:p>
        </w:tc>
        <w:tc>
          <w:tcPr>
            <w:tcW w:type="dxa" w:w="3685"/>
            <w:shd w:fill="333333"/>
            <w:vAlign w:val="center"/>
            <w:tcMar>
              <w:top w:w="100" w:type="dxa"/>
              <w:start w:w="120" w:type="dxa"/>
              <w:bottom w:w="100" w:type="dxa"/>
              <w:end w:w="120" w:type="dxa"/>
            </w:tcMar>
          </w:tcPr>
          <w:p>
            <w:pPr>
              <w:spacing w:after="0"/>
              <w:jc w:val="center"/>
            </w:pPr>
            <w:r>
              <w:rPr>
                <w:rFonts w:ascii="Liberation Sans" w:hAnsi="Liberation Sans"/>
                <w:b/>
                <w:color w:val="FFFFFF"/>
                <w:sz w:val="16"/>
              </w:rPr>
              <w:t>Indicative evidence</w:t>
            </w:r>
          </w:p>
        </w:tc>
      </w:tr>
      <w:tr>
        <w:tc>
          <w:tcPr>
            <w:tcW w:type="dxa" w:w="1701"/>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Comprehensibility</w:t>
            </w:r>
          </w:p>
        </w:tc>
        <w:tc>
          <w:tcPr>
            <w:tcW w:type="dxa" w:w="3798"/>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Structured interviews and task-based studies with technical, risk, legal and executive participants.</w:t>
            </w:r>
          </w:p>
        </w:tc>
        <w:tc>
          <w:tcPr>
            <w:tcW w:type="dxa" w:w="3685"/>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Accuracy and time when interpreting OAL, consequence classes and CPM profiles.</w:t>
            </w:r>
          </w:p>
        </w:tc>
      </w:tr>
      <w:tr>
        <w:tc>
          <w:tcPr>
            <w:tcW w:type="dxa" w:w="1701"/>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Reliability</w:t>
            </w:r>
          </w:p>
        </w:tc>
        <w:tc>
          <w:tcPr>
            <w:tcW w:type="dxa" w:w="379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Independent classification of common scenarios by trained raters.</w:t>
            </w:r>
          </w:p>
        </w:tc>
        <w:tc>
          <w:tcPr>
            <w:tcW w:type="dxa" w:w="3685"/>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Inter-rater agreement, disagreement patterns and reasons for boundary ambiguity.</w:t>
            </w:r>
          </w:p>
        </w:tc>
      </w:tr>
      <w:tr>
        <w:tc>
          <w:tcPr>
            <w:tcW w:type="dxa" w:w="1701"/>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Decision usefulness</w:t>
            </w:r>
          </w:p>
        </w:tc>
        <w:tc>
          <w:tcPr>
            <w:tcW w:type="dxa" w:w="3798"/>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Compare governance reviews with and without CPM artefacts.</w:t>
            </w:r>
          </w:p>
        </w:tc>
        <w:tc>
          <w:tcPr>
            <w:tcW w:type="dxa" w:w="3685"/>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Detection of missing limits, approval gaps, indirect routes and aggregate exposure.</w:t>
            </w:r>
          </w:p>
        </w:tc>
      </w:tr>
      <w:tr>
        <w:tc>
          <w:tcPr>
            <w:tcW w:type="dxa" w:w="1701"/>
            <w:vAlign w:val="center"/>
            <w:tcMar>
              <w:top w:w="100" w:type="dxa"/>
              <w:start w:w="120" w:type="dxa"/>
              <w:bottom w:w="100" w:type="dxa"/>
              <w:end w:w="120" w:type="dxa"/>
            </w:tcMar>
            <w:shd w:fill="F3F3F3"/>
          </w:tcPr>
          <w:p>
            <w:pPr>
              <w:spacing w:after="0" w:line="252" w:lineRule="auto"/>
              <w:jc w:val="center"/>
            </w:pPr>
            <w:r>
              <w:rPr>
                <w:rFonts w:ascii="Liberation Sans" w:hAnsi="Liberation Sans"/>
                <w:color w:val="000000"/>
                <w:sz w:val="16"/>
              </w:rPr>
              <w:t>Control fidelity</w:t>
            </w:r>
          </w:p>
        </w:tc>
        <w:tc>
          <w:tcPr>
            <w:tcW w:type="dxa" w:w="3798"/>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Technical audit of declared profiles against credentials, tools, logs and approval mechanisms.</w:t>
            </w:r>
          </w:p>
        </w:tc>
        <w:tc>
          <w:tcPr>
            <w:tcW w:type="dxa" w:w="3685"/>
            <w:vAlign w:val="center"/>
            <w:tcMar>
              <w:top w:w="100" w:type="dxa"/>
              <w:start w:w="120" w:type="dxa"/>
              <w:bottom w:w="100" w:type="dxa"/>
              <w:end w:w="120" w:type="dxa"/>
            </w:tcMar>
            <w:shd w:fill="F3F3F3"/>
          </w:tcPr>
          <w:p>
            <w:pPr>
              <w:spacing w:after="0" w:line="252" w:lineRule="auto"/>
              <w:jc w:val="left"/>
            </w:pPr>
            <w:r>
              <w:rPr>
                <w:rFonts w:ascii="Liberation Sans" w:hAnsi="Liberation Sans"/>
                <w:color w:val="000000"/>
                <w:sz w:val="16"/>
              </w:rPr>
              <w:t>Rate and severity of mismatches between stated and executable permission.</w:t>
            </w:r>
          </w:p>
        </w:tc>
      </w:tr>
      <w:tr>
        <w:tc>
          <w:tcPr>
            <w:tcW w:type="dxa" w:w="1701"/>
            <w:vAlign w:val="center"/>
            <w:tcMar>
              <w:top w:w="100" w:type="dxa"/>
              <w:start w:w="120" w:type="dxa"/>
              <w:bottom w:w="100" w:type="dxa"/>
              <w:end w:w="120" w:type="dxa"/>
            </w:tcMar>
          </w:tcPr>
          <w:p>
            <w:pPr>
              <w:spacing w:after="0" w:line="252" w:lineRule="auto"/>
              <w:jc w:val="center"/>
            </w:pPr>
            <w:r>
              <w:rPr>
                <w:rFonts w:ascii="Liberation Sans" w:hAnsi="Liberation Sans"/>
                <w:color w:val="000000"/>
                <w:sz w:val="16"/>
              </w:rPr>
              <w:t>Outcome relevance</w:t>
            </w:r>
          </w:p>
        </w:tc>
        <w:tc>
          <w:tcPr>
            <w:tcW w:type="dxa" w:w="3798"/>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Longitudinal case studies and incident or near-miss analysis.</w:t>
            </w:r>
          </w:p>
        </w:tc>
        <w:tc>
          <w:tcPr>
            <w:tcW w:type="dxa" w:w="3685"/>
            <w:vAlign w:val="center"/>
            <w:tcMar>
              <w:top w:w="100" w:type="dxa"/>
              <w:start w:w="120" w:type="dxa"/>
              <w:bottom w:w="100" w:type="dxa"/>
              <w:end w:w="120" w:type="dxa"/>
            </w:tcMar>
          </w:tcPr>
          <w:p>
            <w:pPr>
              <w:spacing w:after="0" w:line="252" w:lineRule="auto"/>
              <w:jc w:val="left"/>
            </w:pPr>
            <w:r>
              <w:rPr>
                <w:rFonts w:ascii="Liberation Sans" w:hAnsi="Liberation Sans"/>
                <w:color w:val="000000"/>
                <w:sz w:val="16"/>
              </w:rPr>
              <w:t>Whether CPM use predicts, prevents or reduces consequential control failures.</w:t>
            </w:r>
          </w:p>
        </w:tc>
      </w:tr>
    </w:tbl>
    <w:p>
      <w:pPr>
        <w:spacing w:after="20"/>
      </w:pPr>
    </w:p>
    <w:p>
      <w:pPr>
        <w:spacing w:after="100" w:line="269" w:lineRule="auto"/>
      </w:pPr>
      <w:r>
        <w:rPr>
          <w:rFonts w:ascii="Liberation Sans" w:hAnsi="Liberation Sans"/>
          <w:i w:val="0"/>
          <w:color w:val="000000"/>
        </w:rPr>
        <w:t>Validation should include sectors with different time pressures and rights implications, including finance, healthcare, employment, public administration, manufacturing and critical infrastructure. It should also test adversarial and organisational failure modes, not only correct use. Particular attention is needed where humans routinely defer to systems, where monitoring itself is consequential, or where multiple low-level actions aggregate across time or populations.</w:t>
      </w:r>
    </w:p>
    <w:p>
      <w:pPr>
        <w:pStyle w:val="Heading1"/>
        <w:keepNext/>
      </w:pPr>
      <w:r>
        <w:rPr>
          <w:rFonts w:ascii="Liberation Sans" w:hAnsi="Liberation Sans"/>
          <w:b/>
          <w:color w:val="000000"/>
        </w:rPr>
        <w:t>11 Discussion</w:t>
      </w:r>
    </w:p>
    <w:p>
      <w:pPr>
        <w:spacing w:after="100" w:line="269" w:lineRule="auto"/>
      </w:pPr>
      <w:r>
        <w:rPr>
          <w:rFonts w:ascii="Liberation Sans" w:hAnsi="Liberation Sans"/>
          <w:i w:val="0"/>
          <w:color w:val="000000"/>
        </w:rPr>
        <w:t>The CPM changes the centre of gravity of autonomy governance. A debate framed only around how autonomous an agent is tends to imply that lower is safer and higher is more capable. That framing is too coarse. The acceptable degree of independence depends on the consequence territory, the mode of contact, the quality of controls and the purpose being served. A narrowly authorised OAL-4 function may be more governable than an OAL-2 controlled function whose recommendations routinely determine C4 decisions without meaningful scrutiny.</w:t>
      </w:r>
    </w:p>
    <w:p>
      <w:pPr>
        <w:spacing w:after="100" w:line="269" w:lineRule="auto"/>
      </w:pPr>
      <w:r>
        <w:rPr>
          <w:rFonts w:ascii="Liberation Sans" w:hAnsi="Liberation Sans"/>
          <w:i w:val="0"/>
          <w:color w:val="000000"/>
        </w:rPr>
        <w:t>The consequence-permission view also clarifies why a single system label is misleading. Modern AI services are assemblies of models, prompts, tools, data sources, approval interfaces, human practices and institutional rules. The permission belongs to the configured function within that sociotechnical arrangement. MOAL describes the uneven distribution of autonomy; CPM describes the uneven distribution of consequence permission; MORAL retains the additional facts needed to judge exposure and control.</w:t>
      </w:r>
    </w:p>
    <w:p>
      <w:pPr>
        <w:spacing w:after="100" w:line="269" w:lineRule="auto"/>
      </w:pPr>
      <w:r>
        <w:rPr>
          <w:rFonts w:ascii="Liberation Sans" w:hAnsi="Liberation Sans"/>
          <w:i w:val="0"/>
          <w:color w:val="000000"/>
        </w:rPr>
        <w:t>The four states are intentionally few. A compact vocabulary supports communication, but it creates pressure at boundaries. For example, a function that may initiate an emergency stop but not restart a plant may require two separately defined functions rather than a qualified Authorised cell. Similarly, read access to sensitive data may itself require a separate CPM because 'Monitor only' refers to the consequential process, not a universal permission to observe any information. The framework encourages functional decomposition where a single row would conceal distinct authorities.</w:t>
      </w:r>
    </w:p>
    <w:p>
      <w:pPr>
        <w:spacing w:after="100" w:line="269" w:lineRule="auto"/>
      </w:pPr>
      <w:r>
        <w:rPr>
          <w:rFonts w:ascii="Liberation Sans" w:hAnsi="Liberation Sans"/>
          <w:i w:val="0"/>
          <w:color w:val="000000"/>
        </w:rPr>
        <w:t>The least consequential permission heuristic provides a practical default: begin with Excluded, then grant Monitor only, Human-gated or Authorised status only where the function's purpose requires it and enforceable controls support it. This resembles least privilege but includes social, financial, legal and physical consequences rather than access rights alone. The heuristic should remain rebuttable. Emergency protective actions, for instance, may require tightly bounded autonomous authority because waiting for approval would increase harm.</w:t>
      </w:r>
    </w:p>
    <w:p>
      <w:pPr>
        <w:pStyle w:val="Heading1"/>
        <w:keepNext/>
      </w:pPr>
      <w:r>
        <w:rPr>
          <w:rFonts w:ascii="Liberation Sans" w:hAnsi="Liberation Sans"/>
          <w:b/>
          <w:color w:val="000000"/>
        </w:rPr>
        <w:t>12 Limitations</w:t>
      </w:r>
    </w:p>
    <w:p>
      <w:pPr>
        <w:spacing w:after="100" w:line="269" w:lineRule="auto"/>
      </w:pPr>
      <w:r>
        <w:rPr>
          <w:rFonts w:ascii="Liberation Sans" w:hAnsi="Liberation Sans"/>
          <w:i w:val="0"/>
          <w:color w:val="000000"/>
        </w:rPr>
        <w:t>The CPM inherits the limitations of consequence classification. Severity judgments can vary by culture, jurisdiction, affected population and institutional interest. Harms may be uncertain, delayed, distributed or difficult to reverse. A four-class scheme cannot represent every dimension of probability, duration, vulnerability or distribution. The matrix should therefore reference a fuller risk assessment and record material uncertainty rather than forcing false precision.</w:t>
      </w:r>
    </w:p>
    <w:p>
      <w:pPr>
        <w:spacing w:after="100" w:line="269" w:lineRule="auto"/>
      </w:pPr>
      <w:r>
        <w:rPr>
          <w:rFonts w:ascii="Liberation Sans" w:hAnsi="Liberation Sans"/>
          <w:i w:val="0"/>
          <w:color w:val="000000"/>
        </w:rPr>
        <w:t>Permission states can also be misrepresented. Organisations may label a function Human-gated when approval is perfunctory, Monitor only when outputs materially steer action, or Excluded when an indirect route remains available. Independent testing and operational evidence are necessary. Furthermore, the CPM does not determine legal compliance, ethical acceptability or public legitimacy. A permitted C1 action may still be unlawful or discriminatory; a well-controlled C4 function may still lack a legitimate purpose.</w:t>
      </w:r>
    </w:p>
    <w:p>
      <w:pPr>
        <w:spacing w:after="100" w:line="269" w:lineRule="auto"/>
      </w:pPr>
      <w:r>
        <w:rPr>
          <w:rFonts w:ascii="Liberation Sans" w:hAnsi="Liberation Sans"/>
          <w:i w:val="0"/>
          <w:color w:val="000000"/>
        </w:rPr>
        <w:t>Finally, the framework has not yet been empirically validated. Its clarity, inter-rater reliability, control fidelity and effect on decision quality remain open questions. The examples are illustrative and should not be treated as sectoral prescriptions.</w:t>
      </w:r>
    </w:p>
    <w:p>
      <w:pPr>
        <w:pStyle w:val="Heading1"/>
        <w:keepNext/>
      </w:pPr>
      <w:r>
        <w:rPr>
          <w:rFonts w:ascii="Liberation Sans" w:hAnsi="Liberation Sans"/>
          <w:b/>
          <w:color w:val="000000"/>
        </w:rPr>
        <w:t>13 Conclusion</w:t>
      </w:r>
    </w:p>
    <w:p>
      <w:pPr>
        <w:spacing w:after="100" w:line="269" w:lineRule="auto"/>
      </w:pPr>
      <w:r>
        <w:rPr>
          <w:rFonts w:ascii="Liberation Sans" w:hAnsi="Liberation Sans"/>
          <w:i w:val="0"/>
          <w:color w:val="000000"/>
        </w:rPr>
        <w:t>The central governance question for agentic AI is not exhausted by asking how autonomous a system is. Authority becomes intelligible only when autonomy is tied to a defined function, a consequence territory and an enforceable permission. OAL describes operational independence. MOAL recognises that one deployment contains multiple levels. MORAL places those levels alongside consequence, limits, aggregate exposure, reversibility and oversight. The CPM supplies the missing permission view by recording whether each function is Authorised, Human-gated, Monitor only or Excluded for each consequence class.</w:t>
      </w:r>
    </w:p>
    <w:p>
      <w:pPr>
        <w:spacing w:after="100" w:line="269" w:lineRule="auto"/>
      </w:pPr>
      <w:r>
        <w:rPr>
          <w:rFonts w:ascii="Liberation Sans" w:hAnsi="Liberation Sans"/>
          <w:i w:val="0"/>
          <w:color w:val="000000"/>
        </w:rPr>
        <w:t>The proposed framework shifts governance from a general claim about an agent to a testable claim about a function: what it may touch, how it may touch it, who authorised that boundary and which controls enforce it. That claim can be inspected, challenged and revised. The CPM should now be evaluated through cross-sector case studies, inter-rater testing and audits comparing declared profiles with executable system permissions. Until such evidence exists, it should be used as a descriptive research and governance instrument, not as a certification.</w:t>
      </w:r>
    </w:p>
    <w:p>
      <w:pPr>
        <w:pStyle w:val="Heading1"/>
        <w:keepNext/>
      </w:pPr>
      <w:r>
        <w:rPr>
          <w:rFonts w:ascii="Liberation Sans" w:hAnsi="Liberation Sans"/>
          <w:b/>
          <w:color w:val="000000"/>
        </w:rPr>
        <w:t>Declaration on the use of generative AI</w:t>
      </w:r>
    </w:p>
    <w:p>
      <w:pPr>
        <w:spacing w:after="100" w:line="269" w:lineRule="auto"/>
      </w:pPr>
      <w:r>
        <w:rPr>
          <w:rFonts w:ascii="Liberation Sans" w:hAnsi="Liberation Sans"/>
          <w:i w:val="0"/>
          <w:color w:val="000000"/>
        </w:rPr>
        <w:t>During preparation of this manuscript, the author used OpenAI ChatGPT to assist with literature discovery, manuscript organisation, figure production and language refinement. The author reviewed and edited the manuscript, verified the cited sources and accepts responsibility for the argument, interpretations and final text.</w:t>
      </w:r>
    </w:p>
    <w:p>
      <w:pPr>
        <w:pStyle w:val="Heading1"/>
        <w:keepNext/>
      </w:pPr>
      <w:r>
        <w:rPr>
          <w:rFonts w:ascii="Liberation Sans" w:hAnsi="Liberation Sans"/>
          <w:b/>
          <w:color w:val="000000"/>
        </w:rPr>
        <w:t>References</w:t>
      </w:r>
    </w:p>
    <w:p>
      <w:pPr>
        <w:spacing w:after="100" w:line="252" w:lineRule="auto"/>
        <w:ind w:left="340" w:hanging="340"/>
      </w:pPr>
      <w:r>
        <w:rPr>
          <w:rFonts w:ascii="Liberation Sans" w:hAnsi="Liberation Sans"/>
          <w:color w:val="000000"/>
          <w:sz w:val="19"/>
        </w:rPr>
        <w:t>Birkstedt, T., Minkkinen, M., Tandon, A. and Mäntymäki, M. (2023) 'AI governance: themes, knowledge gaps and future agendas', Internet Research, 33(7), pp. 133-167. https://doi.org/10.1108/INTR-01-2022-0042.</w:t>
      </w:r>
    </w:p>
    <w:p>
      <w:pPr>
        <w:spacing w:after="100" w:line="252" w:lineRule="auto"/>
        <w:ind w:left="340" w:hanging="340"/>
      </w:pPr>
      <w:r>
        <w:rPr>
          <w:rFonts w:ascii="Liberation Sans" w:hAnsi="Liberation Sans"/>
          <w:color w:val="000000"/>
          <w:sz w:val="19"/>
        </w:rPr>
        <w:t>Engin, Z. (2025) 'Human-AI Governance (HAIG): A trust-utility approach'. arXiv:2505.01651. https://doi.org/10.48550/arXiv.2505.01651.</w:t>
      </w:r>
    </w:p>
    <w:p>
      <w:pPr>
        <w:spacing w:after="100" w:line="252" w:lineRule="auto"/>
        <w:ind w:left="340" w:hanging="340"/>
      </w:pPr>
      <w:r>
        <w:rPr>
          <w:rFonts w:ascii="Liberation Sans" w:hAnsi="Liberation Sans"/>
          <w:color w:val="000000"/>
          <w:sz w:val="19"/>
        </w:rPr>
        <w:t>European Parliament and Council of the European Union (2024) Regulation (EU) 2024/1689 laying down harmonised rules on artificial intelligence. Official Journal of the European Union, L, 12 July. Available at: https://eur-lex.europa.eu/eli/reg/2024/1689/oj (Accessed: 7 October 2026).</w:t>
      </w:r>
    </w:p>
    <w:p>
      <w:pPr>
        <w:spacing w:after="100" w:line="252" w:lineRule="auto"/>
        <w:ind w:left="340" w:hanging="340"/>
      </w:pPr>
      <w:r>
        <w:rPr>
          <w:rFonts w:ascii="Liberation Sans" w:hAnsi="Liberation Sans"/>
          <w:color w:val="000000"/>
          <w:sz w:val="19"/>
        </w:rPr>
        <w:t>Feng, K.J.K., McDonald, D.W. and Zhang, A.X. (2025) 'Levels of autonomy for AI agents'. arXiv:2506.12469. https://doi.org/10.48550/arXiv.2506.12469.</w:t>
      </w:r>
    </w:p>
    <w:p>
      <w:pPr>
        <w:spacing w:after="100" w:line="252" w:lineRule="auto"/>
        <w:ind w:left="340" w:hanging="340"/>
      </w:pPr>
      <w:r>
        <w:rPr>
          <w:rFonts w:ascii="Liberation Sans" w:hAnsi="Liberation Sans"/>
          <w:color w:val="000000"/>
          <w:sz w:val="19"/>
        </w:rPr>
        <w:t>ISO (2024) ISO/IEC TS 8200:2024 Information technology - Artificial intelligence - Controllability of automated artificial intelligence systems. Geneva: International Organization for Standardization. Available at: https://www.iso.org/standard/83012.html (Accessed: 7 October 2026).</w:t>
      </w:r>
    </w:p>
    <w:p>
      <w:pPr>
        <w:spacing w:after="100" w:line="252" w:lineRule="auto"/>
        <w:ind w:left="340" w:hanging="340"/>
      </w:pPr>
      <w:r>
        <w:rPr>
          <w:rFonts w:ascii="Liberation Sans" w:hAnsi="Liberation Sans"/>
          <w:color w:val="000000"/>
          <w:sz w:val="19"/>
        </w:rPr>
        <w:t>Mäntymäki, M., Minkkinen, M., Birkstedt, T. and Viljanen, M. (2022) 'Defining organizational AI governance', AI and Ethics, 2, pp. 603-609. https://doi.org/10.1007/s43681-022-00143-x.</w:t>
      </w:r>
    </w:p>
    <w:p>
      <w:pPr>
        <w:spacing w:after="100" w:line="252" w:lineRule="auto"/>
        <w:ind w:left="340" w:hanging="340"/>
      </w:pPr>
      <w:r>
        <w:rPr>
          <w:rFonts w:ascii="Liberation Sans" w:hAnsi="Liberation Sans"/>
          <w:color w:val="000000"/>
          <w:sz w:val="19"/>
        </w:rPr>
        <w:t>NIST (2023) Artificial Intelligence Risk Management Framework AI RMF 1.0. NIST AI 100-1. Gaithersburg, MD: National Institute of Standards and Technology. https://doi.org/10.6028/NIST.AI.100-1.</w:t>
      </w:r>
    </w:p>
    <w:p>
      <w:pPr>
        <w:spacing w:after="100" w:line="252" w:lineRule="auto"/>
        <w:ind w:left="340" w:hanging="340"/>
      </w:pPr>
      <w:r>
        <w:rPr>
          <w:rFonts w:ascii="Liberation Sans" w:hAnsi="Liberation Sans"/>
          <w:color w:val="000000"/>
          <w:sz w:val="19"/>
        </w:rPr>
        <w:t>Parasuraman, R., Sheridan, T.B. and Wickens, C.D. (2000) 'A model for types and levels of human interaction with automation', IEEE Transactions on Systems, Man, and Cybernetics Part A: Systems and Humans, 30(3), pp. 286-297. https://doi.org/10.1109/3468.844354.</w:t>
      </w:r>
    </w:p>
    <w:p>
      <w:pPr>
        <w:spacing w:after="100" w:line="252" w:lineRule="auto"/>
        <w:ind w:left="340" w:hanging="340"/>
      </w:pPr>
      <w:r>
        <w:rPr>
          <w:rFonts w:ascii="Liberation Sans" w:hAnsi="Liberation Sans"/>
          <w:color w:val="000000"/>
          <w:sz w:val="19"/>
        </w:rPr>
        <w:t>Raji, I.D., Smart, A., White, R.N., Mitchell, M., Gebru, T., Hutchinson, B., Smith-Loud, J., Theron, D. and Barnes, P. (2020) 'Closing the AI accountability gap: defining an end-to-end framework for internal algorithmic auditing', Proceedings of the 2020 Conference on Fairness, Accountability, and Transparency, pp. 33-44. https://doi.org/10.1145/3351095.3372873.</w:t>
      </w:r>
    </w:p>
    <w:p>
      <w:pPr>
        <w:spacing w:after="100" w:line="252" w:lineRule="auto"/>
        <w:ind w:left="340" w:hanging="340"/>
      </w:pPr>
      <w:r>
        <w:rPr>
          <w:rFonts w:ascii="Liberation Sans" w:hAnsi="Liberation Sans"/>
          <w:color w:val="000000"/>
          <w:sz w:val="19"/>
        </w:rPr>
        <w:t>Saltzer, J.H. and Schroeder, M.D. (1975) 'The protection of information in computer systems', Proceedings of the IEEE, 63(9), pp. 1278-1308. https://doi.org/10.1109/PROC.1975.9939.</w:t>
      </w:r>
    </w:p>
    <w:p>
      <w:pPr>
        <w:spacing w:after="100" w:line="252" w:lineRule="auto"/>
        <w:ind w:left="340" w:hanging="340"/>
      </w:pPr>
      <w:r>
        <w:rPr>
          <w:rFonts w:ascii="Liberation Sans" w:hAnsi="Liberation Sans"/>
          <w:color w:val="000000"/>
          <w:sz w:val="19"/>
        </w:rPr>
        <w:t>Selbst, A.D., Boyd, D., Friedler, S.A., Venkatasubramanian, S. and Vertesi, J. (2019) 'Fairness and abstraction in sociotechnical systems', Proceedings of the Conference on Fairness, Accountability, and Transparency, pp. 59-68. https://doi.org/10.1145/3287560.3287598.</w:t>
      </w:r>
    </w:p>
    <w:p>
      <w:pPr>
        <w:spacing w:after="100" w:line="252" w:lineRule="auto"/>
        <w:ind w:left="340" w:hanging="340"/>
      </w:pPr>
      <w:r>
        <w:rPr>
          <w:rFonts w:ascii="Liberation Sans" w:hAnsi="Liberation Sans"/>
          <w:color w:val="000000"/>
          <w:sz w:val="19"/>
        </w:rPr>
        <w:t>Steiner, M.K. (2026) From OAL to MORAL: A common reference framework for communicating delegated operational authority in AI systems. Unpublished manuscript.</w:t>
      </w:r>
    </w:p>
    <w:p>
      <w:pPr>
        <w:spacing w:after="100" w:line="252" w:lineRule="auto"/>
        <w:ind w:left="340" w:hanging="340"/>
      </w:pPr>
      <w:r>
        <w:rPr>
          <w:rFonts w:ascii="Liberation Sans" w:hAnsi="Liberation Sans"/>
          <w:color w:val="000000"/>
          <w:sz w:val="19"/>
        </w:rPr>
        <w:t>Zheng, H., Dong, Q., Depena, R.K., Bhatia, J.D., Xiao, F. and Xu, P. (2026) 'Separating capability from permission: a governance framework for agentic AI autonomy levels'. arXiv:2607.23438. https://doi.org/10.48550/arXiv.2607.23438.</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Liberation Sans" w:hAnsi="Liberation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Liberation Sans" w:hAnsi="Liberation San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Operational Autonomy to Consequence Permission</dc:title>
  <dc:subject>Extending OAL MOAL MORAL with the Consequence Permission Matrix</dc:subject>
  <dc:creator>Martin K Steiner</dc:creator>
  <cp:keywords>AI governance, operational autonomy, OAL, MOAL, MORAL, CPM, consequence permission</cp:keywords>
  <dc:description>Conceptual paper prepared October 2026.</dc:description>
  <cp:lastModifiedBy/>
  <cp:revision>1</cp:revision>
  <dcterms:created xsi:type="dcterms:W3CDTF">2013-12-23T23:15:00Z</dcterms:created>
  <dcterms:modified xsi:type="dcterms:W3CDTF">2013-12-23T23:15:00Z</dcterms:modified>
  <cp:category/>
</cp:coreProperties>
</file>