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9AFB" w14:textId="1ABC80E6" w:rsidR="00697555" w:rsidRPr="0069281C" w:rsidRDefault="0094024A">
      <w:pPr>
        <w:rPr>
          <w:b/>
          <w:i/>
          <w:sz w:val="28"/>
          <w:lang w:val="en-US"/>
        </w:rPr>
      </w:pPr>
      <w:r w:rsidRPr="0069281C">
        <w:rPr>
          <w:b/>
          <w:sz w:val="28"/>
          <w:lang w:val="en-US"/>
        </w:rPr>
        <w:t>Biomass composition</w:t>
      </w:r>
      <w:r w:rsidR="00CC5807" w:rsidRPr="0069281C">
        <w:rPr>
          <w:b/>
          <w:sz w:val="28"/>
          <w:lang w:val="en-US"/>
        </w:rPr>
        <w:t xml:space="preserve"> of </w:t>
      </w:r>
      <w:r w:rsidR="00CC5807" w:rsidRPr="0069281C">
        <w:rPr>
          <w:b/>
          <w:i/>
          <w:sz w:val="28"/>
          <w:lang w:val="en-US"/>
        </w:rPr>
        <w:t xml:space="preserve">L. </w:t>
      </w:r>
      <w:proofErr w:type="spellStart"/>
      <w:r w:rsidR="00CC5807" w:rsidRPr="0069281C">
        <w:rPr>
          <w:b/>
          <w:i/>
          <w:sz w:val="28"/>
          <w:lang w:val="en-US"/>
        </w:rPr>
        <w:t>reuteri</w:t>
      </w:r>
      <w:proofErr w:type="spellEnd"/>
    </w:p>
    <w:p w14:paraId="3A5C5086" w14:textId="33D09B73" w:rsidR="009678CA" w:rsidRPr="0069281C" w:rsidRDefault="009678CA" w:rsidP="009678CA">
      <w:pPr>
        <w:pStyle w:val="NormalWeb"/>
        <w:spacing w:before="0" w:beforeAutospacing="0" w:after="0" w:afterAutospacing="0"/>
        <w:rPr>
          <w:rFonts w:asciiTheme="minorHAnsi" w:eastAsiaTheme="minorHAnsi" w:hAnsiTheme="minorHAnsi" w:cstheme="minorBidi"/>
          <w:sz w:val="22"/>
          <w:szCs w:val="22"/>
          <w:lang w:val="en-US" w:eastAsia="en-US"/>
        </w:rPr>
      </w:pPr>
      <w:proofErr w:type="spellStart"/>
      <w:proofErr w:type="gramStart"/>
      <w:r w:rsidRPr="0069281C">
        <w:rPr>
          <w:rFonts w:asciiTheme="minorHAnsi" w:eastAsiaTheme="minorHAnsi" w:hAnsiTheme="minorHAnsi" w:cstheme="minorBidi"/>
          <w:sz w:val="22"/>
          <w:szCs w:val="22"/>
          <w:lang w:val="en-US" w:eastAsia="en-US"/>
        </w:rPr>
        <w:t>Protein:DNA</w:t>
      </w:r>
      <w:proofErr w:type="gramEnd"/>
      <w:r w:rsidRPr="0069281C">
        <w:rPr>
          <w:rFonts w:asciiTheme="minorHAnsi" w:eastAsiaTheme="minorHAnsi" w:hAnsiTheme="minorHAnsi" w:cstheme="minorBidi"/>
          <w:sz w:val="22"/>
          <w:szCs w:val="22"/>
          <w:lang w:val="en-US" w:eastAsia="en-US"/>
        </w:rPr>
        <w:t>:RNA:Lipid:LTA:CPS:PG</w:t>
      </w:r>
      <w:proofErr w:type="spellEnd"/>
      <w:r w:rsidRPr="0069281C">
        <w:rPr>
          <w:rFonts w:asciiTheme="minorHAnsi" w:eastAsiaTheme="minorHAnsi" w:hAnsiTheme="minorHAnsi" w:cstheme="minorBidi"/>
          <w:sz w:val="22"/>
          <w:szCs w:val="22"/>
          <w:lang w:val="en-US" w:eastAsia="en-US"/>
        </w:rPr>
        <w:t xml:space="preserve"> ratio of biomass is not known for </w:t>
      </w:r>
      <w:proofErr w:type="spellStart"/>
      <w:r w:rsidRPr="0069281C">
        <w:rPr>
          <w:rFonts w:asciiTheme="minorHAnsi" w:eastAsiaTheme="minorHAnsi" w:hAnsiTheme="minorHAnsi" w:cstheme="minorBidi"/>
          <w:sz w:val="22"/>
          <w:szCs w:val="22"/>
          <w:lang w:val="en-US" w:eastAsia="en-US"/>
        </w:rPr>
        <w:t>reuteri</w:t>
      </w:r>
      <w:proofErr w:type="spellEnd"/>
      <w:r w:rsidRPr="0069281C">
        <w:rPr>
          <w:rFonts w:asciiTheme="minorHAnsi" w:eastAsiaTheme="minorHAnsi" w:hAnsiTheme="minorHAnsi" w:cstheme="minorBidi"/>
          <w:sz w:val="22"/>
          <w:szCs w:val="22"/>
          <w:lang w:val="en-US" w:eastAsia="en-US"/>
        </w:rPr>
        <w:t>.</w:t>
      </w:r>
      <w:r w:rsidR="005B08D4" w:rsidRPr="0069281C">
        <w:rPr>
          <w:rFonts w:asciiTheme="minorHAnsi" w:eastAsiaTheme="minorHAnsi" w:hAnsiTheme="minorHAnsi" w:cstheme="minorBidi"/>
          <w:sz w:val="22"/>
          <w:szCs w:val="22"/>
          <w:lang w:val="en-US" w:eastAsia="en-US"/>
        </w:rPr>
        <w:t xml:space="preserve"> </w:t>
      </w:r>
      <w:r w:rsidR="00B30E5E">
        <w:rPr>
          <w:rFonts w:asciiTheme="minorHAnsi" w:eastAsiaTheme="minorHAnsi" w:hAnsiTheme="minorHAnsi" w:cstheme="minorBidi"/>
          <w:sz w:val="22"/>
          <w:szCs w:val="22"/>
          <w:lang w:val="en-US" w:eastAsia="en-US"/>
        </w:rPr>
        <w:t>L</w:t>
      </w:r>
      <w:r w:rsidR="00B30E5E" w:rsidRPr="0069281C">
        <w:rPr>
          <w:rFonts w:asciiTheme="minorHAnsi" w:eastAsiaTheme="minorHAnsi" w:hAnsiTheme="minorHAnsi" w:cstheme="minorBidi"/>
          <w:sz w:val="22"/>
          <w:szCs w:val="22"/>
          <w:lang w:val="en-US" w:eastAsia="en-US"/>
        </w:rPr>
        <w:t xml:space="preserve">ipoteichoic acid </w:t>
      </w:r>
      <w:r w:rsidR="005B08D4" w:rsidRPr="0069281C">
        <w:rPr>
          <w:rFonts w:asciiTheme="minorHAnsi" w:eastAsiaTheme="minorHAnsi" w:hAnsiTheme="minorHAnsi" w:cstheme="minorBidi"/>
          <w:sz w:val="22"/>
          <w:szCs w:val="22"/>
          <w:lang w:val="en-US" w:eastAsia="en-US"/>
        </w:rPr>
        <w:t>(</w:t>
      </w:r>
      <w:r w:rsidR="00B30E5E" w:rsidRPr="0069281C">
        <w:rPr>
          <w:rFonts w:asciiTheme="minorHAnsi" w:eastAsiaTheme="minorHAnsi" w:hAnsiTheme="minorHAnsi" w:cstheme="minorBidi"/>
          <w:sz w:val="22"/>
          <w:szCs w:val="22"/>
          <w:lang w:val="en-US" w:eastAsia="en-US"/>
        </w:rPr>
        <w:t>LTA</w:t>
      </w:r>
      <w:r w:rsidR="005B08D4" w:rsidRPr="0069281C">
        <w:rPr>
          <w:rFonts w:asciiTheme="minorHAnsi" w:eastAsiaTheme="minorHAnsi" w:hAnsiTheme="minorHAnsi" w:cstheme="minorBidi"/>
          <w:sz w:val="22"/>
          <w:szCs w:val="22"/>
          <w:lang w:val="en-US" w:eastAsia="en-US"/>
        </w:rPr>
        <w:t>)</w:t>
      </w:r>
      <w:r w:rsidRPr="0069281C">
        <w:rPr>
          <w:rFonts w:asciiTheme="minorHAnsi" w:eastAsiaTheme="minorHAnsi" w:hAnsiTheme="minorHAnsi" w:cstheme="minorBidi"/>
          <w:sz w:val="22"/>
          <w:szCs w:val="22"/>
          <w:lang w:val="en-US" w:eastAsia="en-US"/>
        </w:rPr>
        <w:t xml:space="preserve"> from </w:t>
      </w:r>
      <w:r w:rsidR="005B08D4" w:rsidRPr="0069281C">
        <w:rPr>
          <w:rFonts w:asciiTheme="minorHAnsi" w:eastAsiaTheme="minorHAnsi" w:hAnsiTheme="minorHAnsi" w:cstheme="minorBidi"/>
          <w:i/>
          <w:sz w:val="22"/>
          <w:szCs w:val="22"/>
          <w:lang w:val="en-US" w:eastAsia="en-US"/>
        </w:rPr>
        <w:t xml:space="preserve">L. </w:t>
      </w:r>
      <w:r w:rsidRPr="0069281C">
        <w:rPr>
          <w:rFonts w:asciiTheme="minorHAnsi" w:eastAsiaTheme="minorHAnsi" w:hAnsiTheme="minorHAnsi" w:cstheme="minorBidi"/>
          <w:i/>
          <w:sz w:val="22"/>
          <w:szCs w:val="22"/>
          <w:lang w:val="en-US" w:eastAsia="en-US"/>
        </w:rPr>
        <w:t>lactis</w:t>
      </w:r>
      <w:r w:rsidRPr="0069281C">
        <w:rPr>
          <w:rFonts w:asciiTheme="minorHAnsi" w:eastAsiaTheme="minorHAnsi" w:hAnsiTheme="minorHAnsi" w:cstheme="minorBidi"/>
          <w:sz w:val="22"/>
          <w:szCs w:val="22"/>
          <w:lang w:val="en-US" w:eastAsia="en-US"/>
        </w:rPr>
        <w:t xml:space="preserve"> </w:t>
      </w:r>
      <w:r w:rsidR="00D77F9A">
        <w:rPr>
          <w:rFonts w:asciiTheme="minorHAnsi" w:eastAsiaTheme="minorHAnsi" w:hAnsiTheme="minorHAnsi" w:cstheme="minorBidi"/>
          <w:sz w:val="22"/>
          <w:szCs w:val="22"/>
          <w:lang w:val="en-US" w:eastAsia="en-US"/>
        </w:rPr>
        <w:fldChar w:fldCharType="begin" w:fldLock="1"/>
      </w:r>
      <w:r w:rsidR="00E11010">
        <w:rPr>
          <w:rFonts w:asciiTheme="minorHAnsi" w:eastAsiaTheme="minorHAnsi" w:hAnsiTheme="minorHAnsi" w:cstheme="minorBidi"/>
          <w:sz w:val="22"/>
          <w:szCs w:val="22"/>
          <w:lang w:val="en-US" w:eastAsia="en-US"/>
        </w:rPr>
        <w:instrText>ADDIN CSL_CITATION {"citationItems":[{"id":"ITEM-1","itemData":{"DOI":"10.1186/1471-2180-5-39","abstract":"Background: Genome-scale flux models are useful tools to represent and analyze microbial metabolism. In this work we reconstructed the metabolic network of the lactic acid bacteria Lactococcus lactis and developed a genome-scale flux model able to simulate and analyze network capabilities and whole-cell function under aerobic and anaerobic continuous cultures. Flux balance analysis (FBA) and minimization of metabolic adjustment (MOMA) were used as modeling frameworks. Results: The metabolic network was reconstructed using the annotated genome sequence from L. lactis ssp. lactis IL1403 together with physiological and biochemical information. The established network comprised a total of 621 reactions and 509 metabolites, representing the overall metabolism of L. lactis. Experimental data reported in the literature was used to fit the model to phenotypic observations. Regulatory constraints had to be included to simulate certain metabolic features, such as the shift from homo to heterolactic fermentation. A minimal medium for in silico growth was identified, indicating the requirement of four amino acids in addition to a sugar. Remarkably, de novo biosynthesis of four other amino acids was observed even when all amino acids were supplied, which is in good agreement with experimental observations. Additionally, enhanced metabolic engineering strategies for improved diacetyl producing strains were designed. Conclusion: The L. lactis metabolic network can now be used for a better understanding of lactococcal metabolic capabilities and potential, for the design of enhanced metabolic engineering strategies and for integration with other types of 'omic' data, to assist in finding new information on cellular organization and function.","author":[{"dropping-particle":"","family":"Oliveira","given":"Ana Paula","non-dropping-particle":"","parse-names":false,"suffix":""},{"dropping-particle":"","family":"Nielsen","given":"Jens","non-dropping-particle":"","parse-names":false,"suffix":""},{"dropping-particle":"","family":"Förster","given":"Jochen","non-dropping-particle":"","parse-names":false,"suffix":""}],"container-title":"BMC Microbiology","id":"ITEM-1","issue":"1","issued":{"date-parts":[["2005"]]},"title":"Modeling Lactococcus lactis using a genome-scale flux model","type":"article-journal","volume":"5"},"uris":["http://www.mendeley.com/documents/?uuid=7d5aac7d-2ff5-40d9-be7d-c127e0cc93e3"]}],"mendeley":{"formattedCitation":"(Oliveira, Nielsen, &amp; Förster, 2005)","plainTextFormattedCitation":"(Oliveira, Nielsen, &amp; Förster, 2005)","previouslyFormattedCitation":"[1]"},"properties":{"noteIndex":0},"schema":"https://github.com/citation-style-language/schema/raw/master/csl-citation.json"}</w:instrText>
      </w:r>
      <w:r w:rsidR="00D77F9A">
        <w:rPr>
          <w:rFonts w:asciiTheme="minorHAnsi" w:eastAsiaTheme="minorHAnsi" w:hAnsiTheme="minorHAnsi" w:cstheme="minorBidi"/>
          <w:sz w:val="22"/>
          <w:szCs w:val="22"/>
          <w:lang w:val="en-US" w:eastAsia="en-US"/>
        </w:rPr>
        <w:fldChar w:fldCharType="separate"/>
      </w:r>
      <w:r w:rsidR="00E11010" w:rsidRPr="00E11010">
        <w:rPr>
          <w:rFonts w:asciiTheme="minorHAnsi" w:eastAsiaTheme="minorHAnsi" w:hAnsiTheme="minorHAnsi" w:cstheme="minorBidi"/>
          <w:noProof/>
          <w:sz w:val="22"/>
          <w:szCs w:val="22"/>
          <w:lang w:val="en-US" w:eastAsia="en-US"/>
        </w:rPr>
        <w:t>(Oliveira, Nielsen, &amp; Förster, 2005)</w:t>
      </w:r>
      <w:r w:rsidR="00D77F9A">
        <w:rPr>
          <w:rFonts w:asciiTheme="minorHAnsi" w:eastAsiaTheme="minorHAnsi" w:hAnsiTheme="minorHAnsi" w:cstheme="minorBidi"/>
          <w:sz w:val="22"/>
          <w:szCs w:val="22"/>
          <w:lang w:val="en-US" w:eastAsia="en-US"/>
        </w:rPr>
        <w:fldChar w:fldCharType="end"/>
      </w:r>
      <w:r w:rsidR="00B30E5E">
        <w:rPr>
          <w:rFonts w:asciiTheme="minorHAnsi" w:eastAsiaTheme="minorHAnsi" w:hAnsiTheme="minorHAnsi" w:cstheme="minorBidi"/>
          <w:sz w:val="22"/>
          <w:szCs w:val="22"/>
          <w:lang w:val="en-US" w:eastAsia="en-US"/>
        </w:rPr>
        <w:t xml:space="preserve"> </w:t>
      </w:r>
      <w:r w:rsidR="005B08D4" w:rsidRPr="0069281C">
        <w:rPr>
          <w:rFonts w:asciiTheme="minorHAnsi" w:eastAsiaTheme="minorHAnsi" w:hAnsiTheme="minorHAnsi" w:cstheme="minorBidi"/>
          <w:sz w:val="22"/>
          <w:szCs w:val="22"/>
          <w:lang w:val="en-US" w:eastAsia="en-US"/>
        </w:rPr>
        <w:t xml:space="preserve">is used </w:t>
      </w:r>
      <w:r w:rsidRPr="0069281C">
        <w:rPr>
          <w:rFonts w:asciiTheme="minorHAnsi" w:eastAsiaTheme="minorHAnsi" w:hAnsiTheme="minorHAnsi" w:cstheme="minorBidi"/>
          <w:sz w:val="22"/>
          <w:szCs w:val="22"/>
          <w:lang w:val="en-US" w:eastAsia="en-US"/>
        </w:rPr>
        <w:t xml:space="preserve">because </w:t>
      </w:r>
      <w:r w:rsidR="005B08D4" w:rsidRPr="0069281C">
        <w:rPr>
          <w:rFonts w:asciiTheme="minorHAnsi" w:eastAsiaTheme="minorHAnsi" w:hAnsiTheme="minorHAnsi" w:cstheme="minorBidi"/>
          <w:i/>
          <w:sz w:val="22"/>
          <w:szCs w:val="22"/>
          <w:lang w:val="en-US" w:eastAsia="en-US"/>
        </w:rPr>
        <w:t xml:space="preserve">L. </w:t>
      </w:r>
      <w:r w:rsidRPr="0069281C">
        <w:rPr>
          <w:rFonts w:asciiTheme="minorHAnsi" w:eastAsiaTheme="minorHAnsi" w:hAnsiTheme="minorHAnsi" w:cstheme="minorBidi"/>
          <w:i/>
          <w:sz w:val="22"/>
          <w:szCs w:val="22"/>
          <w:lang w:val="en-US" w:eastAsia="en-US"/>
        </w:rPr>
        <w:t>plantarum</w:t>
      </w:r>
      <w:r w:rsidRPr="0069281C">
        <w:rPr>
          <w:rFonts w:asciiTheme="minorHAnsi" w:eastAsiaTheme="minorHAnsi" w:hAnsiTheme="minorHAnsi" w:cstheme="minorBidi"/>
          <w:sz w:val="22"/>
          <w:szCs w:val="22"/>
          <w:lang w:val="en-US" w:eastAsia="en-US"/>
        </w:rPr>
        <w:t xml:space="preserve"> also produces </w:t>
      </w:r>
      <w:r w:rsidR="00B30E5E">
        <w:rPr>
          <w:rFonts w:asciiTheme="minorHAnsi" w:eastAsiaTheme="minorHAnsi" w:hAnsiTheme="minorHAnsi" w:cstheme="minorBidi"/>
          <w:sz w:val="22"/>
          <w:szCs w:val="22"/>
          <w:lang w:val="en-US" w:eastAsia="en-US"/>
        </w:rPr>
        <w:t>Wall teichoic acid (</w:t>
      </w:r>
      <w:r w:rsidRPr="0069281C">
        <w:rPr>
          <w:rFonts w:asciiTheme="minorHAnsi" w:eastAsiaTheme="minorHAnsi" w:hAnsiTheme="minorHAnsi" w:cstheme="minorBidi"/>
          <w:sz w:val="22"/>
          <w:szCs w:val="22"/>
          <w:lang w:val="en-US" w:eastAsia="en-US"/>
        </w:rPr>
        <w:t>WTA</w:t>
      </w:r>
      <w:r w:rsidR="00B30E5E">
        <w:rPr>
          <w:rFonts w:asciiTheme="minorHAnsi" w:eastAsiaTheme="minorHAnsi" w:hAnsiTheme="minorHAnsi" w:cstheme="minorBidi"/>
          <w:sz w:val="22"/>
          <w:szCs w:val="22"/>
          <w:lang w:val="en-US" w:eastAsia="en-US"/>
        </w:rPr>
        <w:t>)</w:t>
      </w:r>
      <w:r w:rsidR="005B08D4" w:rsidRPr="0069281C">
        <w:rPr>
          <w:rFonts w:asciiTheme="minorHAnsi" w:eastAsiaTheme="minorHAnsi" w:hAnsiTheme="minorHAnsi" w:cstheme="minorBidi"/>
          <w:sz w:val="22"/>
          <w:szCs w:val="22"/>
          <w:lang w:val="en-US" w:eastAsia="en-US"/>
        </w:rPr>
        <w:t xml:space="preserve">, which </w:t>
      </w:r>
      <w:r w:rsidR="005B08D4" w:rsidRPr="0069281C">
        <w:rPr>
          <w:rFonts w:asciiTheme="minorHAnsi" w:eastAsiaTheme="minorHAnsi" w:hAnsiTheme="minorHAnsi" w:cstheme="minorBidi"/>
          <w:i/>
          <w:sz w:val="22"/>
          <w:szCs w:val="22"/>
          <w:lang w:val="en-US" w:eastAsia="en-US"/>
        </w:rPr>
        <w:t xml:space="preserve">L. </w:t>
      </w:r>
      <w:proofErr w:type="spellStart"/>
      <w:r w:rsidR="005B08D4" w:rsidRPr="0069281C">
        <w:rPr>
          <w:rFonts w:asciiTheme="minorHAnsi" w:eastAsiaTheme="minorHAnsi" w:hAnsiTheme="minorHAnsi" w:cstheme="minorBidi"/>
          <w:i/>
          <w:sz w:val="22"/>
          <w:szCs w:val="22"/>
          <w:lang w:val="en-US" w:eastAsia="en-US"/>
        </w:rPr>
        <w:t>reuteri</w:t>
      </w:r>
      <w:proofErr w:type="spellEnd"/>
      <w:r w:rsidR="005B08D4" w:rsidRPr="0069281C">
        <w:rPr>
          <w:rFonts w:asciiTheme="minorHAnsi" w:eastAsiaTheme="minorHAnsi" w:hAnsiTheme="minorHAnsi" w:cstheme="minorBidi"/>
          <w:i/>
          <w:sz w:val="22"/>
          <w:szCs w:val="22"/>
          <w:lang w:val="en-US" w:eastAsia="en-US"/>
        </w:rPr>
        <w:t xml:space="preserve"> </w:t>
      </w:r>
      <w:r w:rsidR="005B08D4" w:rsidRPr="0069281C">
        <w:rPr>
          <w:rFonts w:asciiTheme="minorHAnsi" w:eastAsiaTheme="minorHAnsi" w:hAnsiTheme="minorHAnsi" w:cstheme="minorBidi"/>
          <w:sz w:val="22"/>
          <w:szCs w:val="22"/>
          <w:lang w:val="en-US" w:eastAsia="en-US"/>
        </w:rPr>
        <w:t xml:space="preserve">and </w:t>
      </w:r>
      <w:r w:rsidR="005B08D4" w:rsidRPr="0069281C">
        <w:rPr>
          <w:rFonts w:asciiTheme="minorHAnsi" w:eastAsiaTheme="minorHAnsi" w:hAnsiTheme="minorHAnsi" w:cstheme="minorBidi"/>
          <w:i/>
          <w:sz w:val="22"/>
          <w:szCs w:val="22"/>
          <w:lang w:val="en-US" w:eastAsia="en-US"/>
        </w:rPr>
        <w:t>L. lactis</w:t>
      </w:r>
      <w:r w:rsidR="005B08D4" w:rsidRPr="0069281C">
        <w:rPr>
          <w:rFonts w:asciiTheme="minorHAnsi" w:eastAsiaTheme="minorHAnsi" w:hAnsiTheme="minorHAnsi" w:cstheme="minorBidi"/>
          <w:sz w:val="22"/>
          <w:szCs w:val="22"/>
          <w:lang w:val="en-US" w:eastAsia="en-US"/>
        </w:rPr>
        <w:t xml:space="preserve"> do not</w:t>
      </w:r>
      <w:r w:rsidRPr="0069281C">
        <w:rPr>
          <w:rFonts w:asciiTheme="minorHAnsi" w:eastAsiaTheme="minorHAnsi" w:hAnsiTheme="minorHAnsi" w:cstheme="minorBidi"/>
          <w:sz w:val="22"/>
          <w:szCs w:val="22"/>
          <w:lang w:val="en-US" w:eastAsia="en-US"/>
        </w:rPr>
        <w:t xml:space="preserve">. </w:t>
      </w:r>
      <w:r w:rsidR="008B71C2" w:rsidRPr="0069281C">
        <w:rPr>
          <w:rFonts w:asciiTheme="minorHAnsi" w:eastAsiaTheme="minorHAnsi" w:hAnsiTheme="minorHAnsi" w:cstheme="minorBidi"/>
          <w:sz w:val="22"/>
          <w:szCs w:val="22"/>
          <w:lang w:val="en-US" w:eastAsia="en-US"/>
        </w:rPr>
        <w:t xml:space="preserve">Peptidoglycan in </w:t>
      </w:r>
      <w:r w:rsidR="008B71C2" w:rsidRPr="0069281C">
        <w:rPr>
          <w:rFonts w:asciiTheme="minorHAnsi" w:eastAsiaTheme="minorHAnsi" w:hAnsiTheme="minorHAnsi" w:cstheme="minorBidi"/>
          <w:i/>
          <w:sz w:val="22"/>
          <w:szCs w:val="22"/>
          <w:lang w:val="en-US" w:eastAsia="en-US"/>
        </w:rPr>
        <w:t xml:space="preserve">L. </w:t>
      </w:r>
      <w:r w:rsidR="008B71C2" w:rsidRPr="00B30E5E">
        <w:rPr>
          <w:rFonts w:asciiTheme="minorHAnsi" w:eastAsiaTheme="minorHAnsi" w:hAnsiTheme="minorHAnsi" w:cstheme="minorBidi"/>
          <w:i/>
          <w:sz w:val="22"/>
          <w:szCs w:val="22"/>
          <w:lang w:val="en-US" w:eastAsia="en-US"/>
        </w:rPr>
        <w:t>plantarum</w:t>
      </w:r>
      <w:r w:rsidR="008B71C2" w:rsidRPr="0069281C">
        <w:rPr>
          <w:rFonts w:asciiTheme="minorHAnsi" w:eastAsiaTheme="minorHAnsi" w:hAnsiTheme="minorHAnsi" w:cstheme="minorBidi"/>
          <w:sz w:val="22"/>
          <w:szCs w:val="22"/>
          <w:lang w:val="en-US" w:eastAsia="en-US"/>
        </w:rPr>
        <w:t xml:space="preserve"> </w:t>
      </w:r>
      <w:r w:rsidR="000C71CB">
        <w:rPr>
          <w:rFonts w:asciiTheme="minorHAnsi" w:eastAsiaTheme="minorHAnsi" w:hAnsiTheme="minorHAnsi" w:cstheme="minorBidi"/>
          <w:sz w:val="22"/>
          <w:szCs w:val="22"/>
          <w:lang w:val="en-US" w:eastAsia="en-US"/>
        </w:rPr>
        <w:fldChar w:fldCharType="begin" w:fldLock="1"/>
      </w:r>
      <w:r w:rsidR="00E11010">
        <w:rPr>
          <w:rFonts w:asciiTheme="minorHAnsi" w:eastAsiaTheme="minorHAnsi" w:hAnsiTheme="minorHAnsi" w:cstheme="minorBidi"/>
          <w:sz w:val="22"/>
          <w:szCs w:val="22"/>
          <w:lang w:val="en-US" w:eastAsia="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model","type":"article-journal","volume":"281"},"uris":["http://www.mendeley.com/documents/?uuid=3c5a9ea2-9bc1-4e15-bb68-b292d1691b9c"]}],"mendeley":{"formattedCitation":"(Teusink et al., 2006)","plainTextFormattedCitation":"(Teusink et al., 2006)","previouslyFormattedCitation":"[2]"},"properties":{"noteIndex":0},"schema":"https://github.com/citation-style-language/schema/raw/master/csl-citation.json"}</w:instrText>
      </w:r>
      <w:r w:rsidR="000C71CB">
        <w:rPr>
          <w:rFonts w:asciiTheme="minorHAnsi" w:eastAsiaTheme="minorHAnsi" w:hAnsiTheme="minorHAnsi" w:cstheme="minorBidi"/>
          <w:sz w:val="22"/>
          <w:szCs w:val="22"/>
          <w:lang w:val="en-US" w:eastAsia="en-US"/>
        </w:rPr>
        <w:fldChar w:fldCharType="separate"/>
      </w:r>
      <w:r w:rsidR="00E11010" w:rsidRPr="00E11010">
        <w:rPr>
          <w:rFonts w:asciiTheme="minorHAnsi" w:eastAsiaTheme="minorHAnsi" w:hAnsiTheme="minorHAnsi" w:cstheme="minorBidi"/>
          <w:noProof/>
          <w:sz w:val="22"/>
          <w:szCs w:val="22"/>
          <w:lang w:val="en-US" w:eastAsia="en-US"/>
        </w:rPr>
        <w:t>(Teusink et al., 2006)</w:t>
      </w:r>
      <w:r w:rsidR="000C71CB">
        <w:rPr>
          <w:rFonts w:asciiTheme="minorHAnsi" w:eastAsiaTheme="minorHAnsi" w:hAnsiTheme="minorHAnsi" w:cstheme="minorBidi"/>
          <w:sz w:val="22"/>
          <w:szCs w:val="22"/>
          <w:lang w:val="en-US" w:eastAsia="en-US"/>
        </w:rPr>
        <w:fldChar w:fldCharType="end"/>
      </w:r>
      <w:r w:rsidR="00B30E5E">
        <w:rPr>
          <w:rFonts w:asciiTheme="minorHAnsi" w:eastAsiaTheme="minorHAnsi" w:hAnsiTheme="minorHAnsi" w:cstheme="minorBidi"/>
          <w:sz w:val="22"/>
          <w:szCs w:val="22"/>
          <w:lang w:val="en-US" w:eastAsia="en-US"/>
        </w:rPr>
        <w:t xml:space="preserve"> was</w:t>
      </w:r>
      <w:r w:rsidR="008B71C2" w:rsidRPr="0069281C">
        <w:rPr>
          <w:rFonts w:asciiTheme="minorHAnsi" w:eastAsiaTheme="minorHAnsi" w:hAnsiTheme="minorHAnsi" w:cstheme="minorBidi"/>
          <w:sz w:val="22"/>
          <w:szCs w:val="22"/>
          <w:lang w:val="en-US" w:eastAsia="en-US"/>
        </w:rPr>
        <w:t xml:space="preserve"> calculated from </w:t>
      </w:r>
      <w:r w:rsidR="0069281C" w:rsidRPr="0069281C">
        <w:rPr>
          <w:rFonts w:asciiTheme="minorHAnsi" w:eastAsiaTheme="minorHAnsi" w:hAnsiTheme="minorHAnsi" w:cstheme="minorBidi"/>
          <w:i/>
          <w:sz w:val="22"/>
          <w:szCs w:val="22"/>
          <w:lang w:val="en-US" w:eastAsia="en-US"/>
        </w:rPr>
        <w:t>Bacillus cereus</w:t>
      </w:r>
      <w:r w:rsidR="0069281C" w:rsidRPr="0069281C">
        <w:rPr>
          <w:rFonts w:asciiTheme="minorHAnsi" w:eastAsiaTheme="minorHAnsi" w:hAnsiTheme="minorHAnsi" w:cstheme="minorBidi"/>
          <w:sz w:val="22"/>
          <w:szCs w:val="22"/>
          <w:lang w:val="en-US" w:eastAsia="en-US"/>
        </w:rPr>
        <w:t xml:space="preserve">, so here peptidoglycan from </w:t>
      </w:r>
      <w:r w:rsidR="0069281C" w:rsidRPr="0069281C">
        <w:rPr>
          <w:rFonts w:asciiTheme="minorHAnsi" w:eastAsiaTheme="minorHAnsi" w:hAnsiTheme="minorHAnsi" w:cstheme="minorBidi"/>
          <w:i/>
          <w:sz w:val="22"/>
          <w:szCs w:val="22"/>
          <w:lang w:val="en-US" w:eastAsia="en-US"/>
        </w:rPr>
        <w:t>L. lactis</w:t>
      </w:r>
      <w:r w:rsidR="0069281C" w:rsidRPr="0069281C">
        <w:rPr>
          <w:rFonts w:asciiTheme="minorHAnsi" w:eastAsiaTheme="minorHAnsi" w:hAnsiTheme="minorHAnsi" w:cstheme="minorBidi"/>
          <w:sz w:val="22"/>
          <w:szCs w:val="22"/>
          <w:lang w:val="en-US" w:eastAsia="en-US"/>
        </w:rPr>
        <w:t xml:space="preserve"> is used. Protein ratio was measure for </w:t>
      </w:r>
      <w:r w:rsidR="0069281C" w:rsidRPr="0069281C">
        <w:rPr>
          <w:rFonts w:asciiTheme="minorHAnsi" w:eastAsiaTheme="minorHAnsi" w:hAnsiTheme="minorHAnsi" w:cstheme="minorBidi"/>
          <w:i/>
          <w:sz w:val="22"/>
          <w:szCs w:val="22"/>
          <w:lang w:val="en-US" w:eastAsia="en-US"/>
        </w:rPr>
        <w:t xml:space="preserve">L. </w:t>
      </w:r>
      <w:proofErr w:type="spellStart"/>
      <w:r w:rsidR="0069281C" w:rsidRPr="0069281C">
        <w:rPr>
          <w:rFonts w:asciiTheme="minorHAnsi" w:eastAsiaTheme="minorHAnsi" w:hAnsiTheme="minorHAnsi"/>
          <w:i/>
          <w:sz w:val="22"/>
          <w:szCs w:val="22"/>
          <w:lang w:val="en-US"/>
        </w:rPr>
        <w:t>reuteri</w:t>
      </w:r>
      <w:proofErr w:type="spellEnd"/>
      <w:r w:rsidR="0069281C" w:rsidRPr="0069281C">
        <w:rPr>
          <w:rFonts w:asciiTheme="minorHAnsi" w:eastAsiaTheme="minorHAnsi" w:hAnsiTheme="minorHAnsi"/>
          <w:sz w:val="22"/>
          <w:szCs w:val="22"/>
          <w:lang w:val="en-US"/>
        </w:rPr>
        <w:t xml:space="preserve"> in this study. </w:t>
      </w:r>
      <w:r w:rsidRPr="0069281C">
        <w:rPr>
          <w:rFonts w:asciiTheme="minorHAnsi" w:eastAsiaTheme="minorHAnsi" w:hAnsiTheme="minorHAnsi"/>
          <w:sz w:val="22"/>
          <w:szCs w:val="22"/>
          <w:lang w:val="en-US"/>
        </w:rPr>
        <w:t>Otherwise</w:t>
      </w:r>
      <w:r w:rsidRPr="0069281C">
        <w:rPr>
          <w:rFonts w:asciiTheme="minorHAnsi" w:eastAsiaTheme="minorHAnsi" w:hAnsiTheme="minorHAnsi" w:cstheme="minorBidi"/>
          <w:sz w:val="22"/>
          <w:szCs w:val="22"/>
          <w:lang w:val="en-US" w:eastAsia="en-US"/>
        </w:rPr>
        <w:t xml:space="preserve"> numbers from </w:t>
      </w:r>
      <w:r w:rsidR="005B08D4" w:rsidRPr="0069281C">
        <w:rPr>
          <w:rFonts w:asciiTheme="minorHAnsi" w:eastAsiaTheme="minorHAnsi" w:hAnsiTheme="minorHAnsi" w:cstheme="minorBidi"/>
          <w:i/>
          <w:sz w:val="22"/>
          <w:szCs w:val="22"/>
          <w:lang w:val="en-US" w:eastAsia="en-US"/>
        </w:rPr>
        <w:t xml:space="preserve">L. </w:t>
      </w:r>
      <w:r w:rsidRPr="0069281C">
        <w:rPr>
          <w:rFonts w:asciiTheme="minorHAnsi" w:eastAsiaTheme="minorHAnsi" w:hAnsiTheme="minorHAnsi" w:cstheme="minorBidi"/>
          <w:i/>
          <w:sz w:val="22"/>
          <w:szCs w:val="22"/>
          <w:lang w:val="en-US" w:eastAsia="en-US"/>
        </w:rPr>
        <w:t>plantarum</w:t>
      </w:r>
      <w:r w:rsidR="005B08D4" w:rsidRPr="0069281C">
        <w:rPr>
          <w:rFonts w:asciiTheme="minorHAnsi" w:eastAsiaTheme="minorHAnsi" w:hAnsiTheme="minorHAnsi" w:cstheme="minorBidi"/>
          <w:sz w:val="22"/>
          <w:szCs w:val="22"/>
          <w:lang w:val="en-US" w:eastAsia="en-US"/>
        </w:rPr>
        <w:t xml:space="preserve"> were used for the macromolecular composition</w:t>
      </w:r>
      <w:r w:rsidRPr="0069281C">
        <w:rPr>
          <w:rFonts w:asciiTheme="minorHAnsi" w:eastAsiaTheme="minorHAnsi" w:hAnsiTheme="minorHAnsi" w:cstheme="minorBidi"/>
          <w:sz w:val="22"/>
          <w:szCs w:val="22"/>
          <w:lang w:val="en-US" w:eastAsia="en-US"/>
        </w:rPr>
        <w:t xml:space="preserve">. </w:t>
      </w:r>
    </w:p>
    <w:p w14:paraId="3C66130B" w14:textId="77777777" w:rsidR="008B71C2" w:rsidRPr="0069281C" w:rsidRDefault="008B71C2" w:rsidP="009678CA">
      <w:pPr>
        <w:pStyle w:val="NormalWeb"/>
        <w:spacing w:before="0" w:beforeAutospacing="0" w:after="0" w:afterAutospacing="0"/>
        <w:rPr>
          <w:rFonts w:asciiTheme="minorHAnsi" w:eastAsiaTheme="minorHAnsi" w:hAnsiTheme="minorHAnsi" w:cstheme="minorBidi"/>
          <w:sz w:val="22"/>
          <w:szCs w:val="22"/>
          <w:lang w:val="en-US" w:eastAsia="en-US"/>
        </w:rPr>
      </w:pPr>
    </w:p>
    <w:tbl>
      <w:tblPr>
        <w:tblW w:w="11009" w:type="dxa"/>
        <w:tblInd w:w="-842" w:type="dxa"/>
        <w:tblLook w:val="04A0" w:firstRow="1" w:lastRow="0" w:firstColumn="1" w:lastColumn="0" w:noHBand="0" w:noVBand="1"/>
      </w:tblPr>
      <w:tblGrid>
        <w:gridCol w:w="1760"/>
        <w:gridCol w:w="1594"/>
        <w:gridCol w:w="1022"/>
        <w:gridCol w:w="1559"/>
        <w:gridCol w:w="1418"/>
        <w:gridCol w:w="1559"/>
        <w:gridCol w:w="2097"/>
      </w:tblGrid>
      <w:tr w:rsidR="00465003" w:rsidRPr="0069281C" w14:paraId="3C9F02B4" w14:textId="77777777" w:rsidTr="00465003">
        <w:trPr>
          <w:trHeight w:val="1005"/>
        </w:trPr>
        <w:tc>
          <w:tcPr>
            <w:tcW w:w="335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C18AD9B" w14:textId="77777777" w:rsidR="000F35A0" w:rsidRPr="0069281C" w:rsidRDefault="000F35A0" w:rsidP="000F35A0">
            <w:pPr>
              <w:spacing w:after="0"/>
              <w:rPr>
                <w:b/>
                <w:bCs/>
                <w:color w:val="000000"/>
                <w:lang w:val="en-US"/>
              </w:rPr>
            </w:pPr>
            <w:r w:rsidRPr="0069281C">
              <w:rPr>
                <w:b/>
                <w:bCs/>
                <w:color w:val="000000"/>
                <w:lang w:val="en-US"/>
              </w:rPr>
              <w:t>Component</w:t>
            </w:r>
          </w:p>
        </w:tc>
        <w:tc>
          <w:tcPr>
            <w:tcW w:w="1022" w:type="dxa"/>
            <w:tcBorders>
              <w:top w:val="single" w:sz="8" w:space="0" w:color="auto"/>
              <w:left w:val="nil"/>
              <w:bottom w:val="single" w:sz="8" w:space="0" w:color="auto"/>
              <w:right w:val="single" w:sz="8" w:space="0" w:color="auto"/>
            </w:tcBorders>
            <w:shd w:val="clear" w:color="auto" w:fill="auto"/>
            <w:vAlign w:val="center"/>
            <w:hideMark/>
          </w:tcPr>
          <w:p w14:paraId="39C8FFF5" w14:textId="77777777" w:rsidR="000F35A0" w:rsidRPr="0069281C" w:rsidRDefault="000F35A0" w:rsidP="000F35A0">
            <w:pPr>
              <w:spacing w:after="0"/>
              <w:rPr>
                <w:b/>
                <w:bCs/>
                <w:color w:val="000000"/>
                <w:lang w:val="en-US"/>
              </w:rPr>
            </w:pPr>
            <w:r w:rsidRPr="0069281C">
              <w:rPr>
                <w:b/>
                <w:bCs/>
                <w:color w:val="000000"/>
                <w:lang w:val="en-US"/>
              </w:rPr>
              <w:t>Fraction (% w/w)</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6F101C03" w14:textId="77777777" w:rsidR="000F35A0" w:rsidRPr="0069281C" w:rsidRDefault="000F35A0" w:rsidP="000F35A0">
            <w:pPr>
              <w:spacing w:after="0"/>
              <w:rPr>
                <w:b/>
                <w:bCs/>
                <w:color w:val="000000"/>
                <w:lang w:val="en-US"/>
              </w:rPr>
            </w:pPr>
            <w:r w:rsidRPr="0069281C">
              <w:rPr>
                <w:b/>
                <w:bCs/>
                <w:color w:val="000000"/>
                <w:lang w:val="en-US"/>
              </w:rPr>
              <w:t>Norm Fraction (% w/w)</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14:paraId="580FA044" w14:textId="77777777" w:rsidR="000F35A0" w:rsidRPr="0069281C" w:rsidRDefault="000F35A0" w:rsidP="000F35A0">
            <w:pPr>
              <w:spacing w:after="0"/>
              <w:rPr>
                <w:b/>
                <w:bCs/>
                <w:color w:val="000000"/>
                <w:lang w:val="en-US"/>
              </w:rPr>
            </w:pPr>
            <w:r w:rsidRPr="0069281C">
              <w:rPr>
                <w:b/>
                <w:bCs/>
                <w:color w:val="000000"/>
                <w:lang w:val="en-US"/>
              </w:rPr>
              <w:t>Molar mass (g mol</w:t>
            </w:r>
            <w:r w:rsidRPr="0069281C">
              <w:rPr>
                <w:b/>
                <w:bCs/>
                <w:color w:val="000000"/>
                <w:vertAlign w:val="superscript"/>
                <w:lang w:val="en-US"/>
              </w:rPr>
              <w:t>-1</w:t>
            </w:r>
            <w:r w:rsidRPr="0069281C">
              <w:rPr>
                <w:b/>
                <w:bCs/>
                <w:color w:val="000000"/>
                <w:lang w:val="en-US"/>
              </w:rPr>
              <w:t>)</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6A84303C" w14:textId="77777777" w:rsidR="000F35A0" w:rsidRPr="0069281C" w:rsidRDefault="000F35A0" w:rsidP="000F35A0">
            <w:pPr>
              <w:spacing w:after="0"/>
              <w:rPr>
                <w:b/>
                <w:bCs/>
                <w:color w:val="000000"/>
                <w:lang w:val="en-US"/>
              </w:rPr>
            </w:pPr>
            <w:proofErr w:type="spellStart"/>
            <w:r w:rsidRPr="0069281C">
              <w:rPr>
                <w:b/>
                <w:bCs/>
                <w:color w:val="000000"/>
                <w:lang w:val="en-US"/>
              </w:rPr>
              <w:t>Coefficent</w:t>
            </w:r>
            <w:proofErr w:type="spellEnd"/>
            <w:r w:rsidRPr="0069281C">
              <w:rPr>
                <w:b/>
                <w:bCs/>
                <w:color w:val="000000"/>
                <w:lang w:val="en-US"/>
              </w:rPr>
              <w:t xml:space="preserve"> (mmol gDW</w:t>
            </w:r>
            <w:r w:rsidRPr="0069281C">
              <w:rPr>
                <w:b/>
                <w:bCs/>
                <w:color w:val="000000"/>
                <w:vertAlign w:val="superscript"/>
                <w:lang w:val="en-US"/>
              </w:rPr>
              <w:t>-1</w:t>
            </w:r>
            <w:r w:rsidRPr="0069281C">
              <w:rPr>
                <w:b/>
                <w:bCs/>
                <w:color w:val="000000"/>
                <w:lang w:val="en-US"/>
              </w:rPr>
              <w:t>)</w:t>
            </w:r>
          </w:p>
        </w:tc>
        <w:tc>
          <w:tcPr>
            <w:tcW w:w="2097" w:type="dxa"/>
            <w:tcBorders>
              <w:top w:val="single" w:sz="8" w:space="0" w:color="auto"/>
              <w:left w:val="nil"/>
              <w:bottom w:val="single" w:sz="8" w:space="0" w:color="auto"/>
              <w:right w:val="single" w:sz="8" w:space="0" w:color="auto"/>
            </w:tcBorders>
            <w:shd w:val="clear" w:color="auto" w:fill="auto"/>
            <w:vAlign w:val="center"/>
            <w:hideMark/>
          </w:tcPr>
          <w:p w14:paraId="6C3B5E56" w14:textId="77777777" w:rsidR="000F35A0" w:rsidRPr="0069281C" w:rsidRDefault="000F35A0" w:rsidP="000F35A0">
            <w:pPr>
              <w:spacing w:after="0"/>
              <w:rPr>
                <w:b/>
                <w:bCs/>
                <w:color w:val="000000"/>
                <w:lang w:val="en-US"/>
              </w:rPr>
            </w:pPr>
            <w:r w:rsidRPr="0069281C">
              <w:rPr>
                <w:b/>
                <w:bCs/>
                <w:color w:val="000000"/>
                <w:lang w:val="en-US"/>
              </w:rPr>
              <w:t>Source</w:t>
            </w:r>
          </w:p>
        </w:tc>
      </w:tr>
      <w:tr w:rsidR="00465003" w:rsidRPr="0069281C" w14:paraId="0F10C83E"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B3777CD" w14:textId="77777777" w:rsidR="000F35A0" w:rsidRPr="0069281C" w:rsidRDefault="000F35A0" w:rsidP="000F35A0">
            <w:pPr>
              <w:spacing w:after="0"/>
              <w:rPr>
                <w:color w:val="000000"/>
                <w:lang w:val="en-US"/>
              </w:rPr>
            </w:pPr>
            <w:r w:rsidRPr="0069281C">
              <w:rPr>
                <w:color w:val="000000"/>
                <w:lang w:val="en-US"/>
              </w:rPr>
              <w:t>Protein</w:t>
            </w:r>
            <w:r w:rsidRPr="0069281C">
              <w:rPr>
                <w:color w:val="000000"/>
                <w:sz w:val="16"/>
                <w:szCs w:val="16"/>
                <w:lang w:val="en-US"/>
              </w:rPr>
              <w:t> </w:t>
            </w:r>
          </w:p>
        </w:tc>
        <w:tc>
          <w:tcPr>
            <w:tcW w:w="1594" w:type="dxa"/>
            <w:tcBorders>
              <w:top w:val="nil"/>
              <w:left w:val="nil"/>
              <w:bottom w:val="single" w:sz="8" w:space="0" w:color="auto"/>
              <w:right w:val="single" w:sz="8" w:space="0" w:color="auto"/>
            </w:tcBorders>
            <w:shd w:val="clear" w:color="auto" w:fill="auto"/>
            <w:vAlign w:val="center"/>
            <w:hideMark/>
          </w:tcPr>
          <w:p w14:paraId="59FBC717" w14:textId="02785830" w:rsidR="000F35A0" w:rsidRPr="0069281C" w:rsidRDefault="000F35A0" w:rsidP="000F35A0">
            <w:pPr>
              <w:spacing w:after="0"/>
              <w:rPr>
                <w:color w:val="000000"/>
                <w:lang w:val="en-US"/>
              </w:rPr>
            </w:pPr>
            <w:proofErr w:type="spellStart"/>
            <w:r w:rsidRPr="0069281C">
              <w:rPr>
                <w:color w:val="000000"/>
                <w:lang w:val="en-US"/>
              </w:rPr>
              <w:t>PROT_LRE_c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2B11B278" w14:textId="77777777" w:rsidR="000F35A0" w:rsidRPr="0069281C" w:rsidRDefault="000F35A0" w:rsidP="000F35A0">
            <w:pPr>
              <w:spacing w:after="0"/>
              <w:jc w:val="center"/>
              <w:rPr>
                <w:color w:val="000000"/>
                <w:lang w:val="en-US"/>
              </w:rPr>
            </w:pPr>
            <w:r w:rsidRPr="0069281C">
              <w:rPr>
                <w:color w:val="000000"/>
                <w:lang w:val="en-US"/>
              </w:rPr>
              <w:t>35,4%</w:t>
            </w:r>
          </w:p>
        </w:tc>
        <w:tc>
          <w:tcPr>
            <w:tcW w:w="1559" w:type="dxa"/>
            <w:tcBorders>
              <w:top w:val="nil"/>
              <w:left w:val="nil"/>
              <w:bottom w:val="single" w:sz="8" w:space="0" w:color="auto"/>
              <w:right w:val="single" w:sz="8" w:space="0" w:color="auto"/>
            </w:tcBorders>
            <w:shd w:val="clear" w:color="auto" w:fill="auto"/>
            <w:noWrap/>
            <w:vAlign w:val="center"/>
            <w:hideMark/>
          </w:tcPr>
          <w:p w14:paraId="60F87BC2" w14:textId="77777777" w:rsidR="000F35A0" w:rsidRPr="0069281C" w:rsidRDefault="000F35A0" w:rsidP="000F35A0">
            <w:pPr>
              <w:spacing w:after="0"/>
              <w:jc w:val="center"/>
              <w:rPr>
                <w:color w:val="000000"/>
                <w:lang w:val="en-US"/>
              </w:rPr>
            </w:pPr>
            <w:r w:rsidRPr="0069281C">
              <w:rPr>
                <w:color w:val="000000"/>
                <w:lang w:val="en-US"/>
              </w:rPr>
              <w:t>43,0%</w:t>
            </w:r>
          </w:p>
        </w:tc>
        <w:tc>
          <w:tcPr>
            <w:tcW w:w="1418" w:type="dxa"/>
            <w:tcBorders>
              <w:top w:val="nil"/>
              <w:left w:val="nil"/>
              <w:bottom w:val="single" w:sz="8" w:space="0" w:color="auto"/>
              <w:right w:val="single" w:sz="8" w:space="0" w:color="auto"/>
            </w:tcBorders>
            <w:shd w:val="clear" w:color="auto" w:fill="auto"/>
            <w:vAlign w:val="center"/>
            <w:hideMark/>
          </w:tcPr>
          <w:p w14:paraId="37B0BD55" w14:textId="5C76879A" w:rsidR="000F35A0" w:rsidRPr="0069281C" w:rsidRDefault="000F35A0" w:rsidP="000F35A0">
            <w:pPr>
              <w:spacing w:after="0"/>
              <w:jc w:val="center"/>
              <w:rPr>
                <w:color w:val="000000"/>
                <w:lang w:val="en-US"/>
              </w:rPr>
            </w:pPr>
            <w:r w:rsidRPr="0069281C">
              <w:rPr>
                <w:color w:val="000000"/>
                <w:lang w:val="en-US"/>
              </w:rPr>
              <w:t>1</w:t>
            </w:r>
            <w:r w:rsidR="009D083D">
              <w:rPr>
                <w:color w:val="000000"/>
                <w:lang w:val="en-US"/>
              </w:rPr>
              <w:t>29</w:t>
            </w:r>
            <w:r w:rsidRPr="0069281C">
              <w:rPr>
                <w:color w:val="000000"/>
                <w:lang w:val="en-US"/>
              </w:rPr>
              <w:t>,</w:t>
            </w:r>
            <w:r w:rsidR="009D083D">
              <w:rPr>
                <w:color w:val="000000"/>
                <w:lang w:val="en-US"/>
              </w:rPr>
              <w:t>9</w:t>
            </w:r>
          </w:p>
        </w:tc>
        <w:tc>
          <w:tcPr>
            <w:tcW w:w="1559" w:type="dxa"/>
            <w:tcBorders>
              <w:top w:val="nil"/>
              <w:left w:val="nil"/>
              <w:bottom w:val="single" w:sz="8" w:space="0" w:color="auto"/>
              <w:right w:val="single" w:sz="8" w:space="0" w:color="auto"/>
            </w:tcBorders>
            <w:shd w:val="clear" w:color="auto" w:fill="auto"/>
            <w:vAlign w:val="center"/>
            <w:hideMark/>
          </w:tcPr>
          <w:p w14:paraId="125C4963" w14:textId="7E7BBFF9" w:rsidR="000F35A0" w:rsidRPr="0069281C" w:rsidRDefault="000F35A0" w:rsidP="000F35A0">
            <w:pPr>
              <w:spacing w:after="0"/>
              <w:jc w:val="center"/>
              <w:rPr>
                <w:color w:val="000000"/>
                <w:lang w:val="en-US"/>
              </w:rPr>
            </w:pPr>
            <w:r w:rsidRPr="0069281C">
              <w:rPr>
                <w:color w:val="000000"/>
                <w:lang w:val="en-US"/>
              </w:rPr>
              <w:t>3,</w:t>
            </w:r>
            <w:r w:rsidR="009D083D">
              <w:rPr>
                <w:color w:val="000000"/>
                <w:lang w:val="en-US"/>
              </w:rPr>
              <w:t>311</w:t>
            </w:r>
          </w:p>
        </w:tc>
        <w:tc>
          <w:tcPr>
            <w:tcW w:w="2097" w:type="dxa"/>
            <w:tcBorders>
              <w:top w:val="nil"/>
              <w:left w:val="nil"/>
              <w:bottom w:val="single" w:sz="8" w:space="0" w:color="auto"/>
              <w:right w:val="single" w:sz="8" w:space="0" w:color="auto"/>
            </w:tcBorders>
            <w:shd w:val="clear" w:color="auto" w:fill="auto"/>
            <w:vAlign w:val="center"/>
            <w:hideMark/>
          </w:tcPr>
          <w:p w14:paraId="797816D4" w14:textId="3A94AF70" w:rsidR="000F35A0" w:rsidRPr="0069281C" w:rsidRDefault="000F35A0" w:rsidP="000F35A0">
            <w:pPr>
              <w:spacing w:after="0"/>
              <w:rPr>
                <w:iCs/>
                <w:color w:val="000000"/>
                <w:lang w:val="en-US"/>
              </w:rPr>
            </w:pPr>
            <w:r w:rsidRPr="0069281C">
              <w:rPr>
                <w:i/>
                <w:iCs/>
                <w:color w:val="000000"/>
                <w:lang w:val="en-US"/>
              </w:rPr>
              <w:t xml:space="preserve">L. </w:t>
            </w:r>
            <w:proofErr w:type="spellStart"/>
            <w:r w:rsidRPr="0069281C">
              <w:rPr>
                <w:i/>
                <w:iCs/>
                <w:color w:val="000000"/>
                <w:lang w:val="en-US"/>
              </w:rPr>
              <w:t>reuteri</w:t>
            </w:r>
            <w:proofErr w:type="spellEnd"/>
            <w:r w:rsidR="0069281C">
              <w:rPr>
                <w:iCs/>
                <w:color w:val="000000"/>
                <w:lang w:val="en-US"/>
              </w:rPr>
              <w:t xml:space="preserve"> (This study)</w:t>
            </w:r>
          </w:p>
        </w:tc>
      </w:tr>
      <w:tr w:rsidR="00465003" w:rsidRPr="0069281C" w14:paraId="293448F2"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DEA481" w14:textId="77777777" w:rsidR="000F35A0" w:rsidRPr="0069281C" w:rsidRDefault="000F35A0" w:rsidP="000F35A0">
            <w:pPr>
              <w:spacing w:after="0"/>
              <w:rPr>
                <w:color w:val="000000"/>
                <w:lang w:val="en-US"/>
              </w:rPr>
            </w:pPr>
            <w:r w:rsidRPr="0069281C">
              <w:rPr>
                <w:color w:val="000000"/>
                <w:lang w:val="en-US"/>
              </w:rPr>
              <w:t>DNA</w:t>
            </w:r>
          </w:p>
        </w:tc>
        <w:tc>
          <w:tcPr>
            <w:tcW w:w="1594" w:type="dxa"/>
            <w:tcBorders>
              <w:top w:val="nil"/>
              <w:left w:val="nil"/>
              <w:bottom w:val="single" w:sz="8" w:space="0" w:color="auto"/>
              <w:right w:val="single" w:sz="8" w:space="0" w:color="auto"/>
            </w:tcBorders>
            <w:shd w:val="clear" w:color="auto" w:fill="auto"/>
            <w:vAlign w:val="center"/>
            <w:hideMark/>
          </w:tcPr>
          <w:p w14:paraId="2559A243" w14:textId="77777777" w:rsidR="000F35A0" w:rsidRPr="0069281C" w:rsidRDefault="000F35A0" w:rsidP="000F35A0">
            <w:pPr>
              <w:spacing w:after="0"/>
              <w:rPr>
                <w:color w:val="000000"/>
                <w:lang w:val="en-US"/>
              </w:rPr>
            </w:pPr>
            <w:proofErr w:type="spellStart"/>
            <w:r w:rsidRPr="0069281C">
              <w:rPr>
                <w:color w:val="000000"/>
                <w:lang w:val="en-US"/>
              </w:rPr>
              <w:t>DNA_LRE_c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7AB29D0F" w14:textId="77777777" w:rsidR="000F35A0" w:rsidRPr="0069281C" w:rsidRDefault="000F35A0" w:rsidP="000F35A0">
            <w:pPr>
              <w:spacing w:after="0"/>
              <w:jc w:val="center"/>
              <w:rPr>
                <w:color w:val="000000"/>
                <w:lang w:val="en-US"/>
              </w:rPr>
            </w:pPr>
            <w:r w:rsidRPr="0069281C">
              <w:rPr>
                <w:color w:val="000000"/>
                <w:lang w:val="en-US"/>
              </w:rPr>
              <w:t>1,9%</w:t>
            </w:r>
          </w:p>
        </w:tc>
        <w:tc>
          <w:tcPr>
            <w:tcW w:w="1559" w:type="dxa"/>
            <w:tcBorders>
              <w:top w:val="nil"/>
              <w:left w:val="nil"/>
              <w:bottom w:val="single" w:sz="8" w:space="0" w:color="auto"/>
              <w:right w:val="single" w:sz="8" w:space="0" w:color="auto"/>
            </w:tcBorders>
            <w:shd w:val="clear" w:color="auto" w:fill="auto"/>
            <w:noWrap/>
            <w:vAlign w:val="center"/>
            <w:hideMark/>
          </w:tcPr>
          <w:p w14:paraId="3140358C" w14:textId="77777777" w:rsidR="000F35A0" w:rsidRPr="0069281C" w:rsidRDefault="000F35A0" w:rsidP="000F35A0">
            <w:pPr>
              <w:spacing w:after="0"/>
              <w:jc w:val="center"/>
              <w:rPr>
                <w:color w:val="000000"/>
                <w:lang w:val="en-US"/>
              </w:rPr>
            </w:pPr>
            <w:r w:rsidRPr="0069281C">
              <w:rPr>
                <w:color w:val="000000"/>
                <w:lang w:val="en-US"/>
              </w:rPr>
              <w:t>2,3%</w:t>
            </w:r>
          </w:p>
        </w:tc>
        <w:tc>
          <w:tcPr>
            <w:tcW w:w="1418" w:type="dxa"/>
            <w:tcBorders>
              <w:top w:val="nil"/>
              <w:left w:val="nil"/>
              <w:bottom w:val="single" w:sz="8" w:space="0" w:color="auto"/>
              <w:right w:val="single" w:sz="8" w:space="0" w:color="auto"/>
            </w:tcBorders>
            <w:shd w:val="clear" w:color="auto" w:fill="auto"/>
            <w:vAlign w:val="center"/>
            <w:hideMark/>
          </w:tcPr>
          <w:p w14:paraId="07530152" w14:textId="77777777" w:rsidR="000F35A0" w:rsidRPr="0069281C" w:rsidRDefault="000F35A0" w:rsidP="000F35A0">
            <w:pPr>
              <w:spacing w:after="0"/>
              <w:jc w:val="center"/>
              <w:rPr>
                <w:color w:val="000000"/>
                <w:lang w:val="en-US"/>
              </w:rPr>
            </w:pPr>
            <w:r w:rsidRPr="0069281C">
              <w:rPr>
                <w:color w:val="000000"/>
                <w:lang w:val="en-US"/>
              </w:rPr>
              <w:t>309,5</w:t>
            </w:r>
          </w:p>
        </w:tc>
        <w:tc>
          <w:tcPr>
            <w:tcW w:w="1559" w:type="dxa"/>
            <w:tcBorders>
              <w:top w:val="nil"/>
              <w:left w:val="nil"/>
              <w:bottom w:val="single" w:sz="8" w:space="0" w:color="auto"/>
              <w:right w:val="single" w:sz="8" w:space="0" w:color="auto"/>
            </w:tcBorders>
            <w:shd w:val="clear" w:color="auto" w:fill="auto"/>
            <w:vAlign w:val="center"/>
            <w:hideMark/>
          </w:tcPr>
          <w:p w14:paraId="166668E1" w14:textId="77777777" w:rsidR="000F35A0" w:rsidRPr="0069281C" w:rsidRDefault="000F35A0" w:rsidP="000F35A0">
            <w:pPr>
              <w:spacing w:after="0"/>
              <w:jc w:val="center"/>
              <w:rPr>
                <w:color w:val="000000"/>
                <w:lang w:val="en-US"/>
              </w:rPr>
            </w:pPr>
            <w:r w:rsidRPr="0069281C">
              <w:rPr>
                <w:color w:val="000000"/>
                <w:lang w:val="en-US"/>
              </w:rPr>
              <w:t>0,075</w:t>
            </w:r>
          </w:p>
        </w:tc>
        <w:tc>
          <w:tcPr>
            <w:tcW w:w="2097" w:type="dxa"/>
            <w:tcBorders>
              <w:top w:val="nil"/>
              <w:left w:val="nil"/>
              <w:bottom w:val="single" w:sz="8" w:space="0" w:color="auto"/>
              <w:right w:val="single" w:sz="8" w:space="0" w:color="auto"/>
            </w:tcBorders>
            <w:shd w:val="clear" w:color="auto" w:fill="auto"/>
            <w:vAlign w:val="center"/>
            <w:hideMark/>
          </w:tcPr>
          <w:p w14:paraId="71D23B27" w14:textId="60FCF7E6" w:rsidR="000F35A0" w:rsidRPr="0069281C" w:rsidRDefault="006065CF" w:rsidP="000F35A0">
            <w:pPr>
              <w:spacing w:after="0"/>
              <w:rPr>
                <w:iCs/>
                <w:color w:val="000000"/>
                <w:lang w:val="en-US"/>
              </w:rPr>
            </w:pPr>
            <w:r>
              <w:rPr>
                <w:i/>
                <w:iCs/>
                <w:color w:val="000000"/>
                <w:lang w:val="en-US"/>
              </w:rPr>
              <w:t xml:space="preserve">L. plantarum </w:t>
            </w:r>
            <w:r w:rsidR="00D77F9A">
              <w:rPr>
                <w:i/>
                <w:iCs/>
                <w:color w:val="000000"/>
                <w:lang w:val="en-US"/>
              </w:rPr>
              <w:fldChar w:fldCharType="begin" w:fldLock="1"/>
            </w:r>
            <w:r w:rsidR="00E11010">
              <w:rPr>
                <w:i/>
                <w:iCs/>
                <w:color w:val="000000"/>
                <w:lang w:val="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model","type":"article-journal","volume":"281"},"uris":["http://www.mendeley.com/documents/?uuid=3c5a9ea2-9bc1-4e15-bb68-b292d1691b9c"]},{"id":"ITEM-2","itemData":{"DOI":"10.1186/1471-2180-5-39","abstract":"Background: Genome-scale flux models are useful tools to represent and analyze microbial metabolism. In this work we reconstructed the metabolic network of the lactic acid bacteria Lactococcus lactis and developed a genome-scale flux model able to simulate and analyze network capabilities and whole-cell function under aerobic and anaerobic continuous cultures. Flux balance analysis (FBA) and minimization of metabolic adjustment (MOMA) were used as modeling frameworks. Results: The metabolic network was reconstructed using the annotated genome sequence from L. lactis ssp. lactis IL1403 together with physiological and biochemical information. The established network comprised a total of 621 reactions and 509 metabolites, representing the overall metabolism of L. lactis. Experimental data reported in the literature was used to fit the model to phenotypic observations. Regulatory constraints had to be included to simulate certain metabolic features, such as the shift from homo to heterolactic fermentation. A minimal medium for in silico growth was identified, indicating the requirement of four amino acids in addition to a sugar. Remarkably, de novo biosynthesis of four other amino acids was observed even when all amino acids were supplied, which is in good agreement with experimental observations. Additionally, enhanced metabolic engineering strategies for improved diacetyl producing strains were designed. Conclusion: The L. lactis metabolic network can now be used for a better understanding of lactococcal metabolic capabilities and potential, for the design of enhanced metabolic engineering strategies and for integration with other types of 'omic' data, to assist in finding new information on cellular organization and function.","author":[{"dropping-particle":"","family":"Oliveira","given":"Ana Paula","non-dropping-particle":"","parse-names":false,"suffix":""},{"dropping-particle":"","family":"Nielsen","given":"Jens","non-dropping-particle":"","parse-names":false,"suffix":""},{"dropping-particle":"","family":"Förster","given":"Jochen","non-dropping-particle":"","parse-names":false,"suffix":""}],"container-title":"BMC Microbiology","id":"ITEM-2","issue":"1","issued":{"date-parts":[["2005"]]},"title":"Modeling Lactococcus lactis using a genome-scale flux model","type":"article-journal","volume":"5"},"uris":["http://www.mendeley.com/documents/?uuid=7d5aac7d-2ff5-40d9-be7d-c127e0cc93e3"]}],"mendeley":{"formattedCitation":"(Oliveira et al., 2005; Teusink et al., 2006)","plainTextFormattedCitation":"(Oliveira et al., 2005; Teusink et al., 2006)","previouslyFormattedCitation":"[1], [2]"},"properties":{"noteIndex":0},"schema":"https://github.com/citation-style-language/schema/raw/master/csl-citation.json"}</w:instrText>
            </w:r>
            <w:r w:rsidR="00D77F9A">
              <w:rPr>
                <w:i/>
                <w:iCs/>
                <w:color w:val="000000"/>
                <w:lang w:val="en-US"/>
              </w:rPr>
              <w:fldChar w:fldCharType="separate"/>
            </w:r>
            <w:r w:rsidR="00E11010" w:rsidRPr="00E11010">
              <w:rPr>
                <w:iCs/>
                <w:noProof/>
                <w:color w:val="000000"/>
                <w:lang w:val="en-US"/>
              </w:rPr>
              <w:t>(Oliveira et al., 2005; Teusink et al., 2006)</w:t>
            </w:r>
            <w:r w:rsidR="00D77F9A">
              <w:rPr>
                <w:i/>
                <w:iCs/>
                <w:color w:val="000000"/>
                <w:lang w:val="en-US"/>
              </w:rPr>
              <w:fldChar w:fldCharType="end"/>
            </w:r>
          </w:p>
        </w:tc>
      </w:tr>
      <w:tr w:rsidR="00465003" w:rsidRPr="0069281C" w14:paraId="4B6D603D"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DF3677" w14:textId="77777777" w:rsidR="000F35A0" w:rsidRPr="0069281C" w:rsidRDefault="000F35A0" w:rsidP="000F35A0">
            <w:pPr>
              <w:spacing w:after="0"/>
              <w:rPr>
                <w:color w:val="000000"/>
                <w:lang w:val="en-US"/>
              </w:rPr>
            </w:pPr>
            <w:r w:rsidRPr="0069281C">
              <w:rPr>
                <w:color w:val="000000"/>
                <w:lang w:val="en-US"/>
              </w:rPr>
              <w:t>RNA</w:t>
            </w:r>
          </w:p>
        </w:tc>
        <w:tc>
          <w:tcPr>
            <w:tcW w:w="1594" w:type="dxa"/>
            <w:tcBorders>
              <w:top w:val="nil"/>
              <w:left w:val="nil"/>
              <w:bottom w:val="single" w:sz="8" w:space="0" w:color="auto"/>
              <w:right w:val="single" w:sz="8" w:space="0" w:color="auto"/>
            </w:tcBorders>
            <w:shd w:val="clear" w:color="auto" w:fill="auto"/>
            <w:vAlign w:val="center"/>
            <w:hideMark/>
          </w:tcPr>
          <w:p w14:paraId="6F39692A" w14:textId="77777777" w:rsidR="000F35A0" w:rsidRPr="0069281C" w:rsidRDefault="000F35A0" w:rsidP="000F35A0">
            <w:pPr>
              <w:spacing w:after="0"/>
              <w:rPr>
                <w:color w:val="000000"/>
                <w:lang w:val="en-US"/>
              </w:rPr>
            </w:pPr>
            <w:proofErr w:type="spellStart"/>
            <w:r w:rsidRPr="0069281C">
              <w:rPr>
                <w:color w:val="000000"/>
                <w:lang w:val="en-US"/>
              </w:rPr>
              <w:t>RNA_LRE_c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08846CB8" w14:textId="77777777" w:rsidR="000F35A0" w:rsidRPr="0069281C" w:rsidRDefault="000F35A0" w:rsidP="000F35A0">
            <w:pPr>
              <w:spacing w:after="0"/>
              <w:jc w:val="center"/>
              <w:rPr>
                <w:color w:val="000000"/>
                <w:lang w:val="en-US"/>
              </w:rPr>
            </w:pPr>
            <w:r w:rsidRPr="0069281C">
              <w:rPr>
                <w:color w:val="000000"/>
                <w:lang w:val="en-US"/>
              </w:rPr>
              <w:t>9,0%</w:t>
            </w:r>
          </w:p>
        </w:tc>
        <w:tc>
          <w:tcPr>
            <w:tcW w:w="1559" w:type="dxa"/>
            <w:tcBorders>
              <w:top w:val="nil"/>
              <w:left w:val="nil"/>
              <w:bottom w:val="single" w:sz="8" w:space="0" w:color="auto"/>
              <w:right w:val="single" w:sz="8" w:space="0" w:color="auto"/>
            </w:tcBorders>
            <w:shd w:val="clear" w:color="auto" w:fill="auto"/>
            <w:noWrap/>
            <w:vAlign w:val="center"/>
            <w:hideMark/>
          </w:tcPr>
          <w:p w14:paraId="5B4B7714" w14:textId="77777777" w:rsidR="000F35A0" w:rsidRPr="0069281C" w:rsidRDefault="000F35A0" w:rsidP="000F35A0">
            <w:pPr>
              <w:spacing w:after="0"/>
              <w:jc w:val="center"/>
              <w:rPr>
                <w:color w:val="000000"/>
                <w:lang w:val="en-US"/>
              </w:rPr>
            </w:pPr>
            <w:r w:rsidRPr="0069281C">
              <w:rPr>
                <w:color w:val="000000"/>
                <w:lang w:val="en-US"/>
              </w:rPr>
              <w:t>10,9%</w:t>
            </w:r>
          </w:p>
        </w:tc>
        <w:tc>
          <w:tcPr>
            <w:tcW w:w="1418" w:type="dxa"/>
            <w:tcBorders>
              <w:top w:val="nil"/>
              <w:left w:val="nil"/>
              <w:bottom w:val="single" w:sz="8" w:space="0" w:color="auto"/>
              <w:right w:val="single" w:sz="8" w:space="0" w:color="auto"/>
            </w:tcBorders>
            <w:shd w:val="clear" w:color="auto" w:fill="auto"/>
            <w:vAlign w:val="center"/>
            <w:hideMark/>
          </w:tcPr>
          <w:p w14:paraId="792428DB" w14:textId="77777777" w:rsidR="000F35A0" w:rsidRPr="0069281C" w:rsidRDefault="000F35A0" w:rsidP="000F35A0">
            <w:pPr>
              <w:spacing w:after="0"/>
              <w:jc w:val="center"/>
              <w:rPr>
                <w:color w:val="000000"/>
                <w:lang w:val="en-US"/>
              </w:rPr>
            </w:pPr>
            <w:r w:rsidRPr="0069281C">
              <w:rPr>
                <w:color w:val="000000"/>
                <w:lang w:val="en-US"/>
              </w:rPr>
              <w:t>321,6</w:t>
            </w:r>
          </w:p>
        </w:tc>
        <w:tc>
          <w:tcPr>
            <w:tcW w:w="1559" w:type="dxa"/>
            <w:tcBorders>
              <w:top w:val="nil"/>
              <w:left w:val="nil"/>
              <w:bottom w:val="single" w:sz="8" w:space="0" w:color="auto"/>
              <w:right w:val="single" w:sz="8" w:space="0" w:color="auto"/>
            </w:tcBorders>
            <w:shd w:val="clear" w:color="auto" w:fill="auto"/>
            <w:vAlign w:val="center"/>
            <w:hideMark/>
          </w:tcPr>
          <w:p w14:paraId="7B405DA7" w14:textId="77777777" w:rsidR="000F35A0" w:rsidRPr="0069281C" w:rsidRDefault="000F35A0" w:rsidP="000F35A0">
            <w:pPr>
              <w:spacing w:after="0"/>
              <w:jc w:val="center"/>
              <w:rPr>
                <w:color w:val="000000"/>
                <w:lang w:val="en-US"/>
              </w:rPr>
            </w:pPr>
            <w:r w:rsidRPr="0069281C">
              <w:rPr>
                <w:color w:val="000000"/>
                <w:lang w:val="en-US"/>
              </w:rPr>
              <w:t>0,340</w:t>
            </w:r>
          </w:p>
        </w:tc>
        <w:tc>
          <w:tcPr>
            <w:tcW w:w="2097" w:type="dxa"/>
            <w:tcBorders>
              <w:top w:val="nil"/>
              <w:left w:val="nil"/>
              <w:bottom w:val="single" w:sz="8" w:space="0" w:color="auto"/>
              <w:right w:val="single" w:sz="8" w:space="0" w:color="auto"/>
            </w:tcBorders>
            <w:shd w:val="clear" w:color="auto" w:fill="auto"/>
            <w:vAlign w:val="center"/>
            <w:hideMark/>
          </w:tcPr>
          <w:p w14:paraId="6F55D8DC" w14:textId="3FB0E4FC" w:rsidR="000F35A0" w:rsidRPr="0069281C" w:rsidRDefault="000F35A0" w:rsidP="000F35A0">
            <w:pPr>
              <w:spacing w:after="0"/>
              <w:rPr>
                <w:i/>
                <w:iCs/>
                <w:color w:val="000000"/>
                <w:lang w:val="en-US"/>
              </w:rPr>
            </w:pPr>
            <w:r w:rsidRPr="0069281C">
              <w:rPr>
                <w:i/>
                <w:iCs/>
                <w:color w:val="000000"/>
                <w:lang w:val="en-US"/>
              </w:rPr>
              <w:t>L. plantarum</w:t>
            </w:r>
            <w:r w:rsidR="00465003">
              <w:rPr>
                <w:iCs/>
                <w:color w:val="000000"/>
                <w:lang w:val="en-US"/>
              </w:rPr>
              <w:t xml:space="preserve"> </w:t>
            </w:r>
            <w:r w:rsidR="00D77F9A">
              <w:rPr>
                <w:iCs/>
                <w:color w:val="000000"/>
                <w:lang w:val="en-US"/>
              </w:rPr>
              <w:fldChar w:fldCharType="begin" w:fldLock="1"/>
            </w:r>
            <w:r w:rsidR="00E11010">
              <w:rPr>
                <w:iCs/>
                <w:color w:val="000000"/>
                <w:lang w:val="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model","type":"article-journal","volume":"281"},"uris":["http://www.mendeley.com/documents/?uuid=3c5a9ea2-9bc1-4e15-bb68-b292d1691b9c"]}],"mendeley":{"formattedCitation":"(Teusink et al., 2006)","plainTextFormattedCitation":"(Teusink et al., 2006)","previouslyFormattedCitation":"[2]"},"properties":{"noteIndex":0},"schema":"https://github.com/citation-style-language/schema/raw/master/csl-citation.json"}</w:instrText>
            </w:r>
            <w:r w:rsidR="00D77F9A">
              <w:rPr>
                <w:iCs/>
                <w:color w:val="000000"/>
                <w:lang w:val="en-US"/>
              </w:rPr>
              <w:fldChar w:fldCharType="separate"/>
            </w:r>
            <w:r w:rsidR="00E11010" w:rsidRPr="00E11010">
              <w:rPr>
                <w:iCs/>
                <w:noProof/>
                <w:color w:val="000000"/>
                <w:lang w:val="en-US"/>
              </w:rPr>
              <w:t>(Teusink et al., 2006)</w:t>
            </w:r>
            <w:r w:rsidR="00D77F9A">
              <w:rPr>
                <w:iCs/>
                <w:color w:val="000000"/>
                <w:lang w:val="en-US"/>
              </w:rPr>
              <w:fldChar w:fldCharType="end"/>
            </w:r>
          </w:p>
        </w:tc>
      </w:tr>
      <w:tr w:rsidR="00465003" w:rsidRPr="0069281C" w14:paraId="2DC06813"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E11E8CA" w14:textId="77777777" w:rsidR="000F35A0" w:rsidRPr="0069281C" w:rsidRDefault="000F35A0" w:rsidP="000F35A0">
            <w:pPr>
              <w:spacing w:after="0"/>
              <w:rPr>
                <w:color w:val="000000"/>
                <w:lang w:val="en-US"/>
              </w:rPr>
            </w:pPr>
            <w:r w:rsidRPr="0069281C">
              <w:rPr>
                <w:color w:val="000000"/>
                <w:lang w:val="en-US"/>
              </w:rPr>
              <w:t>Lipids</w:t>
            </w:r>
          </w:p>
        </w:tc>
        <w:tc>
          <w:tcPr>
            <w:tcW w:w="1594" w:type="dxa"/>
            <w:tcBorders>
              <w:top w:val="nil"/>
              <w:left w:val="nil"/>
              <w:bottom w:val="single" w:sz="8" w:space="0" w:color="auto"/>
              <w:right w:val="single" w:sz="8" w:space="0" w:color="auto"/>
            </w:tcBorders>
            <w:shd w:val="clear" w:color="auto" w:fill="auto"/>
            <w:vAlign w:val="center"/>
            <w:hideMark/>
          </w:tcPr>
          <w:p w14:paraId="501C650C" w14:textId="77777777" w:rsidR="000F35A0" w:rsidRPr="0069281C" w:rsidRDefault="000F35A0" w:rsidP="000F35A0">
            <w:pPr>
              <w:spacing w:after="0"/>
              <w:rPr>
                <w:color w:val="000000"/>
                <w:lang w:val="en-US"/>
              </w:rPr>
            </w:pPr>
            <w:proofErr w:type="spellStart"/>
            <w:r w:rsidRPr="0069281C">
              <w:rPr>
                <w:color w:val="000000"/>
                <w:lang w:val="en-US"/>
              </w:rPr>
              <w:t>LIP_LRE_c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6C5D6B20" w14:textId="77777777" w:rsidR="000F35A0" w:rsidRPr="0069281C" w:rsidRDefault="000F35A0" w:rsidP="000F35A0">
            <w:pPr>
              <w:spacing w:after="0"/>
              <w:jc w:val="center"/>
              <w:rPr>
                <w:color w:val="000000"/>
                <w:lang w:val="en-US"/>
              </w:rPr>
            </w:pPr>
            <w:r w:rsidRPr="0069281C">
              <w:rPr>
                <w:color w:val="000000"/>
                <w:lang w:val="en-US"/>
              </w:rPr>
              <w:t>6,3%</w:t>
            </w:r>
          </w:p>
        </w:tc>
        <w:tc>
          <w:tcPr>
            <w:tcW w:w="1559" w:type="dxa"/>
            <w:tcBorders>
              <w:top w:val="nil"/>
              <w:left w:val="nil"/>
              <w:bottom w:val="single" w:sz="8" w:space="0" w:color="auto"/>
              <w:right w:val="single" w:sz="8" w:space="0" w:color="auto"/>
            </w:tcBorders>
            <w:shd w:val="clear" w:color="auto" w:fill="auto"/>
            <w:noWrap/>
            <w:vAlign w:val="center"/>
            <w:hideMark/>
          </w:tcPr>
          <w:p w14:paraId="56E3AECC" w14:textId="77777777" w:rsidR="000F35A0" w:rsidRPr="0069281C" w:rsidRDefault="000F35A0" w:rsidP="000F35A0">
            <w:pPr>
              <w:spacing w:after="0"/>
              <w:jc w:val="center"/>
              <w:rPr>
                <w:color w:val="000000"/>
                <w:lang w:val="en-US"/>
              </w:rPr>
            </w:pPr>
            <w:r w:rsidRPr="0069281C">
              <w:rPr>
                <w:color w:val="000000"/>
                <w:lang w:val="en-US"/>
              </w:rPr>
              <w:t>7,7%</w:t>
            </w:r>
          </w:p>
        </w:tc>
        <w:tc>
          <w:tcPr>
            <w:tcW w:w="1418" w:type="dxa"/>
            <w:tcBorders>
              <w:top w:val="nil"/>
              <w:left w:val="nil"/>
              <w:bottom w:val="single" w:sz="8" w:space="0" w:color="auto"/>
              <w:right w:val="single" w:sz="8" w:space="0" w:color="auto"/>
            </w:tcBorders>
            <w:shd w:val="clear" w:color="auto" w:fill="auto"/>
            <w:vAlign w:val="center"/>
            <w:hideMark/>
          </w:tcPr>
          <w:p w14:paraId="77B5B1D5" w14:textId="77777777" w:rsidR="000F35A0" w:rsidRPr="0069281C" w:rsidRDefault="000F35A0" w:rsidP="000F35A0">
            <w:pPr>
              <w:spacing w:after="0"/>
              <w:jc w:val="center"/>
              <w:rPr>
                <w:color w:val="000000"/>
                <w:lang w:val="en-US"/>
              </w:rPr>
            </w:pPr>
            <w:r w:rsidRPr="0069281C">
              <w:rPr>
                <w:color w:val="000000"/>
                <w:lang w:val="en-US"/>
              </w:rPr>
              <w:t>795,1</w:t>
            </w:r>
          </w:p>
        </w:tc>
        <w:tc>
          <w:tcPr>
            <w:tcW w:w="1559" w:type="dxa"/>
            <w:tcBorders>
              <w:top w:val="nil"/>
              <w:left w:val="nil"/>
              <w:bottom w:val="single" w:sz="8" w:space="0" w:color="auto"/>
              <w:right w:val="single" w:sz="8" w:space="0" w:color="auto"/>
            </w:tcBorders>
            <w:shd w:val="clear" w:color="auto" w:fill="auto"/>
            <w:vAlign w:val="center"/>
            <w:hideMark/>
          </w:tcPr>
          <w:p w14:paraId="10741D89" w14:textId="77777777" w:rsidR="000F35A0" w:rsidRPr="0069281C" w:rsidRDefault="000F35A0" w:rsidP="000F35A0">
            <w:pPr>
              <w:spacing w:after="0"/>
              <w:jc w:val="center"/>
              <w:rPr>
                <w:color w:val="000000"/>
                <w:lang w:val="en-US"/>
              </w:rPr>
            </w:pPr>
            <w:r w:rsidRPr="0069281C">
              <w:rPr>
                <w:color w:val="000000"/>
                <w:lang w:val="en-US"/>
              </w:rPr>
              <w:t>0,096</w:t>
            </w:r>
          </w:p>
        </w:tc>
        <w:tc>
          <w:tcPr>
            <w:tcW w:w="2097" w:type="dxa"/>
            <w:tcBorders>
              <w:top w:val="nil"/>
              <w:left w:val="nil"/>
              <w:bottom w:val="single" w:sz="8" w:space="0" w:color="auto"/>
              <w:right w:val="single" w:sz="8" w:space="0" w:color="auto"/>
            </w:tcBorders>
            <w:shd w:val="clear" w:color="auto" w:fill="auto"/>
            <w:vAlign w:val="center"/>
            <w:hideMark/>
          </w:tcPr>
          <w:p w14:paraId="519DCCA3" w14:textId="4E80E5E5" w:rsidR="000F35A0" w:rsidRPr="0069281C" w:rsidRDefault="000F35A0" w:rsidP="000F35A0">
            <w:pPr>
              <w:spacing w:after="0"/>
              <w:rPr>
                <w:i/>
                <w:iCs/>
                <w:color w:val="000000"/>
                <w:lang w:val="en-US"/>
              </w:rPr>
            </w:pPr>
            <w:r w:rsidRPr="0069281C">
              <w:rPr>
                <w:i/>
                <w:iCs/>
                <w:color w:val="000000"/>
                <w:lang w:val="en-US"/>
              </w:rPr>
              <w:t>L. plantarum</w:t>
            </w:r>
            <w:r w:rsidR="00465003">
              <w:rPr>
                <w:iCs/>
                <w:color w:val="000000"/>
                <w:lang w:val="en-US"/>
              </w:rPr>
              <w:t xml:space="preserve"> </w:t>
            </w:r>
            <w:r w:rsidR="00D77F9A">
              <w:rPr>
                <w:iCs/>
                <w:color w:val="000000"/>
                <w:lang w:val="en-US"/>
              </w:rPr>
              <w:fldChar w:fldCharType="begin" w:fldLock="1"/>
            </w:r>
            <w:r w:rsidR="00E11010">
              <w:rPr>
                <w:iCs/>
                <w:color w:val="000000"/>
                <w:lang w:val="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model","type":"article-journal","volume":"281"},"uris":["http://www.mendeley.com/documents/?uuid=3c5a9ea2-9bc1-4e15-bb68-b292d1691b9c"]}],"mendeley":{"formattedCitation":"(Teusink et al., 2006)","plainTextFormattedCitation":"(Teusink et al., 2006)","previouslyFormattedCitation":"[2]"},"properties":{"noteIndex":0},"schema":"https://github.com/citation-style-language/schema/raw/master/csl-citation.json"}</w:instrText>
            </w:r>
            <w:r w:rsidR="00D77F9A">
              <w:rPr>
                <w:iCs/>
                <w:color w:val="000000"/>
                <w:lang w:val="en-US"/>
              </w:rPr>
              <w:fldChar w:fldCharType="separate"/>
            </w:r>
            <w:r w:rsidR="00E11010" w:rsidRPr="00E11010">
              <w:rPr>
                <w:iCs/>
                <w:noProof/>
                <w:color w:val="000000"/>
                <w:lang w:val="en-US"/>
              </w:rPr>
              <w:t>(Teusink et al., 2006)</w:t>
            </w:r>
            <w:r w:rsidR="00D77F9A">
              <w:rPr>
                <w:iCs/>
                <w:color w:val="000000"/>
                <w:lang w:val="en-US"/>
              </w:rPr>
              <w:fldChar w:fldCharType="end"/>
            </w:r>
          </w:p>
        </w:tc>
      </w:tr>
      <w:tr w:rsidR="00465003" w:rsidRPr="0069281C" w14:paraId="09CB04B0"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9657918" w14:textId="77777777" w:rsidR="000F35A0" w:rsidRPr="0069281C" w:rsidRDefault="000F35A0" w:rsidP="000F35A0">
            <w:pPr>
              <w:spacing w:after="0"/>
              <w:rPr>
                <w:color w:val="000000"/>
                <w:lang w:val="en-US"/>
              </w:rPr>
            </w:pPr>
            <w:r w:rsidRPr="0069281C">
              <w:rPr>
                <w:color w:val="000000"/>
                <w:lang w:val="en-US"/>
              </w:rPr>
              <w:t>Lipoteichoic acid</w:t>
            </w:r>
          </w:p>
        </w:tc>
        <w:tc>
          <w:tcPr>
            <w:tcW w:w="1594" w:type="dxa"/>
            <w:tcBorders>
              <w:top w:val="nil"/>
              <w:left w:val="nil"/>
              <w:bottom w:val="single" w:sz="8" w:space="0" w:color="auto"/>
              <w:right w:val="single" w:sz="8" w:space="0" w:color="auto"/>
            </w:tcBorders>
            <w:shd w:val="clear" w:color="auto" w:fill="auto"/>
            <w:vAlign w:val="center"/>
            <w:hideMark/>
          </w:tcPr>
          <w:p w14:paraId="54E35F8A" w14:textId="77777777" w:rsidR="000F35A0" w:rsidRPr="0069281C" w:rsidRDefault="000F35A0" w:rsidP="000F35A0">
            <w:pPr>
              <w:spacing w:after="0"/>
              <w:rPr>
                <w:color w:val="000000"/>
                <w:lang w:val="en-US"/>
              </w:rPr>
            </w:pPr>
            <w:proofErr w:type="spellStart"/>
            <w:r w:rsidRPr="0069281C">
              <w:rPr>
                <w:color w:val="000000"/>
                <w:lang w:val="en-US"/>
              </w:rPr>
              <w:t>LTAtotal_LRE_c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31D51876" w14:textId="77777777" w:rsidR="000F35A0" w:rsidRPr="0069281C" w:rsidRDefault="000F35A0" w:rsidP="000F35A0">
            <w:pPr>
              <w:spacing w:after="0"/>
              <w:jc w:val="center"/>
              <w:rPr>
                <w:color w:val="000000"/>
                <w:lang w:val="en-US"/>
              </w:rPr>
            </w:pPr>
            <w:r w:rsidRPr="0069281C">
              <w:rPr>
                <w:color w:val="000000"/>
                <w:lang w:val="en-US"/>
              </w:rPr>
              <w:t>8,0%</w:t>
            </w:r>
          </w:p>
        </w:tc>
        <w:tc>
          <w:tcPr>
            <w:tcW w:w="1559" w:type="dxa"/>
            <w:tcBorders>
              <w:top w:val="nil"/>
              <w:left w:val="nil"/>
              <w:bottom w:val="single" w:sz="8" w:space="0" w:color="auto"/>
              <w:right w:val="single" w:sz="8" w:space="0" w:color="auto"/>
            </w:tcBorders>
            <w:shd w:val="clear" w:color="auto" w:fill="auto"/>
            <w:noWrap/>
            <w:vAlign w:val="center"/>
            <w:hideMark/>
          </w:tcPr>
          <w:p w14:paraId="57182CD9" w14:textId="77777777" w:rsidR="000F35A0" w:rsidRPr="0069281C" w:rsidRDefault="000F35A0" w:rsidP="000F35A0">
            <w:pPr>
              <w:spacing w:after="0"/>
              <w:jc w:val="center"/>
              <w:rPr>
                <w:color w:val="000000"/>
                <w:lang w:val="en-US"/>
              </w:rPr>
            </w:pPr>
            <w:r w:rsidRPr="0069281C">
              <w:rPr>
                <w:color w:val="000000"/>
                <w:lang w:val="en-US"/>
              </w:rPr>
              <w:t>9,7%</w:t>
            </w:r>
          </w:p>
        </w:tc>
        <w:tc>
          <w:tcPr>
            <w:tcW w:w="1418" w:type="dxa"/>
            <w:tcBorders>
              <w:top w:val="nil"/>
              <w:left w:val="nil"/>
              <w:bottom w:val="single" w:sz="8" w:space="0" w:color="auto"/>
              <w:right w:val="single" w:sz="8" w:space="0" w:color="auto"/>
            </w:tcBorders>
            <w:shd w:val="clear" w:color="auto" w:fill="auto"/>
            <w:vAlign w:val="center"/>
            <w:hideMark/>
          </w:tcPr>
          <w:p w14:paraId="557D73B2" w14:textId="77777777" w:rsidR="000F35A0" w:rsidRPr="0069281C" w:rsidRDefault="000F35A0" w:rsidP="000F35A0">
            <w:pPr>
              <w:spacing w:after="0"/>
              <w:jc w:val="center"/>
              <w:rPr>
                <w:color w:val="000000"/>
                <w:lang w:val="en-US"/>
              </w:rPr>
            </w:pPr>
            <w:r w:rsidRPr="0069281C">
              <w:rPr>
                <w:color w:val="000000"/>
                <w:lang w:val="en-US"/>
              </w:rPr>
              <w:t>5290,4</w:t>
            </w:r>
          </w:p>
        </w:tc>
        <w:tc>
          <w:tcPr>
            <w:tcW w:w="1559" w:type="dxa"/>
            <w:tcBorders>
              <w:top w:val="nil"/>
              <w:left w:val="nil"/>
              <w:bottom w:val="single" w:sz="8" w:space="0" w:color="auto"/>
              <w:right w:val="single" w:sz="8" w:space="0" w:color="auto"/>
            </w:tcBorders>
            <w:shd w:val="clear" w:color="auto" w:fill="auto"/>
            <w:vAlign w:val="center"/>
            <w:hideMark/>
          </w:tcPr>
          <w:p w14:paraId="48CC5EF6" w14:textId="77777777" w:rsidR="000F35A0" w:rsidRPr="0069281C" w:rsidRDefault="000F35A0" w:rsidP="000F35A0">
            <w:pPr>
              <w:spacing w:after="0"/>
              <w:jc w:val="center"/>
              <w:rPr>
                <w:color w:val="000000"/>
                <w:lang w:val="en-US"/>
              </w:rPr>
            </w:pPr>
            <w:r w:rsidRPr="0069281C">
              <w:rPr>
                <w:color w:val="000000"/>
                <w:lang w:val="en-US"/>
              </w:rPr>
              <w:t>0,018</w:t>
            </w:r>
          </w:p>
        </w:tc>
        <w:tc>
          <w:tcPr>
            <w:tcW w:w="2097" w:type="dxa"/>
            <w:tcBorders>
              <w:top w:val="nil"/>
              <w:left w:val="nil"/>
              <w:bottom w:val="single" w:sz="8" w:space="0" w:color="auto"/>
              <w:right w:val="single" w:sz="8" w:space="0" w:color="auto"/>
            </w:tcBorders>
            <w:shd w:val="clear" w:color="auto" w:fill="auto"/>
            <w:vAlign w:val="center"/>
            <w:hideMark/>
          </w:tcPr>
          <w:p w14:paraId="6363E166" w14:textId="40537532" w:rsidR="000F35A0" w:rsidRPr="006065CF" w:rsidRDefault="000F35A0" w:rsidP="000F35A0">
            <w:pPr>
              <w:spacing w:after="0"/>
              <w:rPr>
                <w:iCs/>
                <w:color w:val="000000"/>
                <w:lang w:val="en-US"/>
              </w:rPr>
            </w:pPr>
            <w:r w:rsidRPr="0069281C">
              <w:rPr>
                <w:i/>
                <w:iCs/>
                <w:color w:val="000000"/>
                <w:lang w:val="en-US"/>
              </w:rPr>
              <w:t xml:space="preserve">L. lactis </w:t>
            </w:r>
            <w:r w:rsidR="00D77F9A">
              <w:rPr>
                <w:i/>
                <w:iCs/>
                <w:color w:val="000000"/>
                <w:lang w:val="en-US"/>
              </w:rPr>
              <w:fldChar w:fldCharType="begin" w:fldLock="1"/>
            </w:r>
            <w:r w:rsidR="00E11010">
              <w:rPr>
                <w:i/>
                <w:iCs/>
                <w:color w:val="000000"/>
                <w:lang w:val="en-US"/>
              </w:rPr>
              <w:instrText>ADDIN CSL_CITATION {"citationItems":[{"id":"ITEM-1","itemData":{"DOI":"10.1186/1471-2180-5-39","abstract":"Background: Genome-scale flux models are useful tools to represent and analyze microbial metabolism. In this work we reconstructed the metabolic network of the lactic acid bacteria Lactococcus lactis and developed a genome-scale flux model able to simulate and analyze network capabilities and whole-cell function under aerobic and anaerobic continuous cultures. Flux balance analysis (FBA) and minimization of metabolic adjustment (MOMA) were used as modeling frameworks. Results: The metabolic network was reconstructed using the annotated genome sequence from L. lactis ssp. lactis IL1403 together with physiological and biochemical information. The established network comprised a total of 621 reactions and 509 metabolites, representing the overall metabolism of L. lactis. Experimental data reported in the literature was used to fit the model to phenotypic observations. Regulatory constraints had to be included to simulate certain metabolic features, such as the shift from homo to heterolactic fermentation. A minimal medium for in silico growth was identified, indicating the requirement of four amino acids in addition to a sugar. Remarkably, de novo biosynthesis of four other amino acids was observed even when all amino acids were supplied, which is in good agreement with experimental observations. Additionally, enhanced metabolic engineering strategies for improved diacetyl producing strains were designed. Conclusion: The L. lactis metabolic network can now be used for a better understanding of lactococcal metabolic capabilities and potential, for the design of enhanced metabolic engineering strategies and for integration with other types of 'omic' data, to assist in finding new information on cellular organization and function.","author":[{"dropping-particle":"","family":"Oliveira","given":"Ana Paula","non-dropping-particle":"","parse-names":false,"suffix":""},{"dropping-particle":"","family":"Nielsen","given":"Jens","non-dropping-particle":"","parse-names":false,"suffix":""},{"dropping-particle":"","family":"Förster","given":"Jochen","non-dropping-particle":"","parse-names":false,"suffix":""}],"container-title":"BMC Microbiology","id":"ITEM-1","issue":"1","issued":{"date-parts":[["2005"]]},"title":"Modeling Lactococcus lactis using a genome-scale flux model","type":"article-journal","volume":"5"},"uris":["http://www.mendeley.com/documents/?uuid=7d5aac7d-2ff5-40d9-be7d-c127e0cc93e3"]}],"mendeley":{"formattedCitation":"(Oliveira et al., 2005)","plainTextFormattedCitation":"(Oliveira et al., 2005)","previouslyFormattedCitation":"[1]"},"properties":{"noteIndex":0},"schema":"https://github.com/citation-style-language/schema/raw/master/csl-citation.json"}</w:instrText>
            </w:r>
            <w:r w:rsidR="00D77F9A">
              <w:rPr>
                <w:i/>
                <w:iCs/>
                <w:color w:val="000000"/>
                <w:lang w:val="en-US"/>
              </w:rPr>
              <w:fldChar w:fldCharType="separate"/>
            </w:r>
            <w:r w:rsidR="00E11010" w:rsidRPr="00E11010">
              <w:rPr>
                <w:iCs/>
                <w:noProof/>
                <w:color w:val="000000"/>
                <w:lang w:val="en-US"/>
              </w:rPr>
              <w:t>(Oliveira et al., 2005)</w:t>
            </w:r>
            <w:r w:rsidR="00D77F9A">
              <w:rPr>
                <w:i/>
                <w:iCs/>
                <w:color w:val="000000"/>
                <w:lang w:val="en-US"/>
              </w:rPr>
              <w:fldChar w:fldCharType="end"/>
            </w:r>
          </w:p>
        </w:tc>
      </w:tr>
      <w:tr w:rsidR="00465003" w:rsidRPr="0069281C" w14:paraId="0F548A2E"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C7F865D" w14:textId="77777777" w:rsidR="000F35A0" w:rsidRPr="0069281C" w:rsidRDefault="000F35A0" w:rsidP="000F35A0">
            <w:pPr>
              <w:spacing w:after="0"/>
              <w:rPr>
                <w:color w:val="000000"/>
                <w:lang w:val="en-US"/>
              </w:rPr>
            </w:pPr>
            <w:r w:rsidRPr="0069281C">
              <w:rPr>
                <w:color w:val="000000"/>
                <w:lang w:val="en-US"/>
              </w:rPr>
              <w:t>Polysaccharides</w:t>
            </w:r>
          </w:p>
        </w:tc>
        <w:tc>
          <w:tcPr>
            <w:tcW w:w="1594" w:type="dxa"/>
            <w:tcBorders>
              <w:top w:val="nil"/>
              <w:left w:val="nil"/>
              <w:bottom w:val="single" w:sz="8" w:space="0" w:color="auto"/>
              <w:right w:val="single" w:sz="8" w:space="0" w:color="auto"/>
            </w:tcBorders>
            <w:shd w:val="clear" w:color="auto" w:fill="auto"/>
            <w:vAlign w:val="center"/>
            <w:hideMark/>
          </w:tcPr>
          <w:p w14:paraId="535280FD" w14:textId="77777777" w:rsidR="000F35A0" w:rsidRPr="0069281C" w:rsidRDefault="000F35A0" w:rsidP="000F35A0">
            <w:pPr>
              <w:spacing w:after="0"/>
              <w:rPr>
                <w:color w:val="000000"/>
                <w:lang w:val="en-US"/>
              </w:rPr>
            </w:pPr>
            <w:proofErr w:type="spellStart"/>
            <w:r w:rsidRPr="0069281C">
              <w:rPr>
                <w:color w:val="000000"/>
                <w:lang w:val="en-US"/>
              </w:rPr>
              <w:t>CPS_LRE_c</w:t>
            </w:r>
            <w:proofErr w:type="spellEnd"/>
          </w:p>
        </w:tc>
        <w:tc>
          <w:tcPr>
            <w:tcW w:w="1022" w:type="dxa"/>
            <w:tcBorders>
              <w:top w:val="nil"/>
              <w:left w:val="nil"/>
              <w:bottom w:val="single" w:sz="8" w:space="0" w:color="auto"/>
              <w:right w:val="single" w:sz="8" w:space="0" w:color="auto"/>
            </w:tcBorders>
            <w:shd w:val="clear" w:color="auto" w:fill="auto"/>
            <w:vAlign w:val="center"/>
            <w:hideMark/>
          </w:tcPr>
          <w:p w14:paraId="1F2B56A2" w14:textId="77777777" w:rsidR="000F35A0" w:rsidRPr="0069281C" w:rsidRDefault="000F35A0" w:rsidP="000F35A0">
            <w:pPr>
              <w:spacing w:after="0"/>
              <w:jc w:val="center"/>
              <w:rPr>
                <w:color w:val="000000"/>
                <w:lang w:val="en-US"/>
              </w:rPr>
            </w:pPr>
            <w:r w:rsidRPr="0069281C">
              <w:rPr>
                <w:color w:val="000000"/>
                <w:lang w:val="en-US"/>
              </w:rPr>
              <w:t>9,9%</w:t>
            </w:r>
          </w:p>
        </w:tc>
        <w:tc>
          <w:tcPr>
            <w:tcW w:w="1559" w:type="dxa"/>
            <w:tcBorders>
              <w:top w:val="nil"/>
              <w:left w:val="nil"/>
              <w:bottom w:val="single" w:sz="8" w:space="0" w:color="auto"/>
              <w:right w:val="single" w:sz="8" w:space="0" w:color="auto"/>
            </w:tcBorders>
            <w:shd w:val="clear" w:color="auto" w:fill="auto"/>
            <w:noWrap/>
            <w:vAlign w:val="center"/>
            <w:hideMark/>
          </w:tcPr>
          <w:p w14:paraId="5CA74DD5" w14:textId="77777777" w:rsidR="000F35A0" w:rsidRPr="0069281C" w:rsidRDefault="000F35A0" w:rsidP="000F35A0">
            <w:pPr>
              <w:spacing w:after="0"/>
              <w:jc w:val="center"/>
              <w:rPr>
                <w:color w:val="000000"/>
                <w:lang w:val="en-US"/>
              </w:rPr>
            </w:pPr>
            <w:r w:rsidRPr="0069281C">
              <w:rPr>
                <w:color w:val="000000"/>
                <w:lang w:val="en-US"/>
              </w:rPr>
              <w:t>12,0%</w:t>
            </w:r>
          </w:p>
        </w:tc>
        <w:tc>
          <w:tcPr>
            <w:tcW w:w="1418" w:type="dxa"/>
            <w:tcBorders>
              <w:top w:val="nil"/>
              <w:left w:val="nil"/>
              <w:bottom w:val="single" w:sz="8" w:space="0" w:color="auto"/>
              <w:right w:val="single" w:sz="8" w:space="0" w:color="auto"/>
            </w:tcBorders>
            <w:shd w:val="clear" w:color="auto" w:fill="auto"/>
            <w:vAlign w:val="center"/>
            <w:hideMark/>
          </w:tcPr>
          <w:p w14:paraId="1961BB13" w14:textId="77777777" w:rsidR="000F35A0" w:rsidRPr="0069281C" w:rsidRDefault="000F35A0" w:rsidP="000F35A0">
            <w:pPr>
              <w:spacing w:after="0"/>
              <w:jc w:val="center"/>
              <w:rPr>
                <w:color w:val="000000"/>
                <w:lang w:val="en-US"/>
              </w:rPr>
            </w:pPr>
            <w:r w:rsidRPr="0069281C">
              <w:rPr>
                <w:color w:val="000000"/>
                <w:lang w:val="en-US"/>
              </w:rPr>
              <w:t>648</w:t>
            </w:r>
          </w:p>
        </w:tc>
        <w:tc>
          <w:tcPr>
            <w:tcW w:w="1559" w:type="dxa"/>
            <w:tcBorders>
              <w:top w:val="nil"/>
              <w:left w:val="nil"/>
              <w:bottom w:val="single" w:sz="8" w:space="0" w:color="auto"/>
              <w:right w:val="single" w:sz="8" w:space="0" w:color="auto"/>
            </w:tcBorders>
            <w:shd w:val="clear" w:color="auto" w:fill="auto"/>
            <w:vAlign w:val="center"/>
            <w:hideMark/>
          </w:tcPr>
          <w:p w14:paraId="55528172" w14:textId="77777777" w:rsidR="000F35A0" w:rsidRPr="0069281C" w:rsidRDefault="000F35A0" w:rsidP="000F35A0">
            <w:pPr>
              <w:spacing w:after="0"/>
              <w:jc w:val="center"/>
              <w:rPr>
                <w:color w:val="000000"/>
                <w:lang w:val="en-US"/>
              </w:rPr>
            </w:pPr>
            <w:r w:rsidRPr="0069281C">
              <w:rPr>
                <w:color w:val="000000"/>
                <w:lang w:val="en-US"/>
              </w:rPr>
              <w:t>0,186</w:t>
            </w:r>
          </w:p>
        </w:tc>
        <w:tc>
          <w:tcPr>
            <w:tcW w:w="2097" w:type="dxa"/>
            <w:tcBorders>
              <w:top w:val="nil"/>
              <w:left w:val="nil"/>
              <w:bottom w:val="single" w:sz="8" w:space="0" w:color="auto"/>
              <w:right w:val="single" w:sz="8" w:space="0" w:color="auto"/>
            </w:tcBorders>
            <w:shd w:val="clear" w:color="auto" w:fill="auto"/>
            <w:vAlign w:val="center"/>
            <w:hideMark/>
          </w:tcPr>
          <w:p w14:paraId="593CDF6F" w14:textId="16502396" w:rsidR="000F35A0" w:rsidRPr="0069281C" w:rsidRDefault="000F35A0" w:rsidP="000F35A0">
            <w:pPr>
              <w:spacing w:after="0"/>
              <w:rPr>
                <w:i/>
                <w:iCs/>
                <w:color w:val="000000"/>
                <w:lang w:val="en-US"/>
              </w:rPr>
            </w:pPr>
            <w:r w:rsidRPr="0069281C">
              <w:rPr>
                <w:i/>
                <w:iCs/>
                <w:color w:val="000000"/>
                <w:lang w:val="en-US"/>
              </w:rPr>
              <w:t>L. plantarum</w:t>
            </w:r>
            <w:r w:rsidR="00465003">
              <w:rPr>
                <w:iCs/>
                <w:color w:val="000000"/>
                <w:lang w:val="en-US"/>
              </w:rPr>
              <w:t xml:space="preserve"> </w:t>
            </w:r>
            <w:r w:rsidR="00D77F9A">
              <w:rPr>
                <w:iCs/>
                <w:color w:val="000000"/>
                <w:lang w:val="en-US"/>
              </w:rPr>
              <w:fldChar w:fldCharType="begin" w:fldLock="1"/>
            </w:r>
            <w:r w:rsidR="00E11010">
              <w:rPr>
                <w:iCs/>
                <w:color w:val="000000"/>
                <w:lang w:val="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model","type":"article-journal","volume":"281"},"uris":["http://www.mendeley.com/documents/?uuid=3c5a9ea2-9bc1-4e15-bb68-b292d1691b9c"]}],"mendeley":{"formattedCitation":"(Teusink et al., 2006)","plainTextFormattedCitation":"(Teusink et al., 2006)","previouslyFormattedCitation":"[2]"},"properties":{"noteIndex":0},"schema":"https://github.com/citation-style-language/schema/raw/master/csl-citation.json"}</w:instrText>
            </w:r>
            <w:r w:rsidR="00D77F9A">
              <w:rPr>
                <w:iCs/>
                <w:color w:val="000000"/>
                <w:lang w:val="en-US"/>
              </w:rPr>
              <w:fldChar w:fldCharType="separate"/>
            </w:r>
            <w:r w:rsidR="00E11010" w:rsidRPr="00E11010">
              <w:rPr>
                <w:iCs/>
                <w:noProof/>
                <w:color w:val="000000"/>
                <w:lang w:val="en-US"/>
              </w:rPr>
              <w:t>(Teusink et al., 2006)</w:t>
            </w:r>
            <w:r w:rsidR="00D77F9A">
              <w:rPr>
                <w:iCs/>
                <w:color w:val="000000"/>
                <w:lang w:val="en-US"/>
              </w:rPr>
              <w:fldChar w:fldCharType="end"/>
            </w:r>
          </w:p>
        </w:tc>
      </w:tr>
      <w:tr w:rsidR="00465003" w:rsidRPr="0069281C" w14:paraId="266C221F" w14:textId="77777777" w:rsidTr="00465003">
        <w:trPr>
          <w:trHeight w:val="315"/>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45CCEB" w14:textId="77777777" w:rsidR="000F35A0" w:rsidRPr="0069281C" w:rsidRDefault="000F35A0" w:rsidP="000F35A0">
            <w:pPr>
              <w:spacing w:after="0"/>
              <w:rPr>
                <w:color w:val="000000"/>
                <w:lang w:val="en-US"/>
              </w:rPr>
            </w:pPr>
            <w:r w:rsidRPr="0069281C">
              <w:rPr>
                <w:color w:val="000000"/>
                <w:lang w:val="en-US"/>
              </w:rPr>
              <w:t>Peptidoglycan</w:t>
            </w:r>
          </w:p>
        </w:tc>
        <w:tc>
          <w:tcPr>
            <w:tcW w:w="1594" w:type="dxa"/>
            <w:tcBorders>
              <w:top w:val="nil"/>
              <w:left w:val="nil"/>
              <w:bottom w:val="single" w:sz="8" w:space="0" w:color="auto"/>
              <w:right w:val="single" w:sz="8" w:space="0" w:color="auto"/>
            </w:tcBorders>
            <w:shd w:val="clear" w:color="auto" w:fill="auto"/>
            <w:vAlign w:val="center"/>
            <w:hideMark/>
          </w:tcPr>
          <w:p w14:paraId="45D334C7" w14:textId="77777777" w:rsidR="000F35A0" w:rsidRPr="0069281C" w:rsidRDefault="000F35A0" w:rsidP="000F35A0">
            <w:pPr>
              <w:spacing w:after="0"/>
              <w:rPr>
                <w:color w:val="000000"/>
                <w:lang w:val="en-US"/>
              </w:rPr>
            </w:pPr>
            <w:r w:rsidRPr="0069281C">
              <w:rPr>
                <w:color w:val="000000"/>
                <w:lang w:val="en-US"/>
              </w:rPr>
              <w:t>PGlac2_c</w:t>
            </w:r>
          </w:p>
        </w:tc>
        <w:tc>
          <w:tcPr>
            <w:tcW w:w="1022" w:type="dxa"/>
            <w:tcBorders>
              <w:top w:val="nil"/>
              <w:left w:val="nil"/>
              <w:bottom w:val="single" w:sz="8" w:space="0" w:color="auto"/>
              <w:right w:val="single" w:sz="8" w:space="0" w:color="auto"/>
            </w:tcBorders>
            <w:shd w:val="clear" w:color="auto" w:fill="auto"/>
            <w:vAlign w:val="center"/>
            <w:hideMark/>
          </w:tcPr>
          <w:p w14:paraId="529C953A" w14:textId="77777777" w:rsidR="000F35A0" w:rsidRPr="0069281C" w:rsidRDefault="000F35A0" w:rsidP="000F35A0">
            <w:pPr>
              <w:spacing w:after="0"/>
              <w:jc w:val="center"/>
              <w:rPr>
                <w:color w:val="000000"/>
                <w:lang w:val="en-US"/>
              </w:rPr>
            </w:pPr>
            <w:r w:rsidRPr="0069281C">
              <w:rPr>
                <w:color w:val="000000"/>
                <w:lang w:val="en-US"/>
              </w:rPr>
              <w:t>11,8%</w:t>
            </w:r>
          </w:p>
        </w:tc>
        <w:tc>
          <w:tcPr>
            <w:tcW w:w="1559" w:type="dxa"/>
            <w:tcBorders>
              <w:top w:val="nil"/>
              <w:left w:val="nil"/>
              <w:bottom w:val="single" w:sz="8" w:space="0" w:color="auto"/>
              <w:right w:val="single" w:sz="8" w:space="0" w:color="auto"/>
            </w:tcBorders>
            <w:shd w:val="clear" w:color="auto" w:fill="auto"/>
            <w:noWrap/>
            <w:vAlign w:val="center"/>
            <w:hideMark/>
          </w:tcPr>
          <w:p w14:paraId="5C15B13A" w14:textId="77777777" w:rsidR="000F35A0" w:rsidRPr="0069281C" w:rsidRDefault="000F35A0" w:rsidP="000F35A0">
            <w:pPr>
              <w:spacing w:after="0"/>
              <w:jc w:val="center"/>
              <w:rPr>
                <w:color w:val="000000"/>
                <w:lang w:val="en-US"/>
              </w:rPr>
            </w:pPr>
            <w:r w:rsidRPr="0069281C">
              <w:rPr>
                <w:color w:val="000000"/>
                <w:lang w:val="en-US"/>
              </w:rPr>
              <w:t>14,3%</w:t>
            </w:r>
          </w:p>
        </w:tc>
        <w:tc>
          <w:tcPr>
            <w:tcW w:w="1418" w:type="dxa"/>
            <w:tcBorders>
              <w:top w:val="nil"/>
              <w:left w:val="nil"/>
              <w:bottom w:val="single" w:sz="8" w:space="0" w:color="auto"/>
              <w:right w:val="single" w:sz="8" w:space="0" w:color="auto"/>
            </w:tcBorders>
            <w:shd w:val="clear" w:color="auto" w:fill="auto"/>
            <w:vAlign w:val="center"/>
            <w:hideMark/>
          </w:tcPr>
          <w:p w14:paraId="473CF222" w14:textId="77777777" w:rsidR="000F35A0" w:rsidRPr="0069281C" w:rsidRDefault="000F35A0" w:rsidP="000F35A0">
            <w:pPr>
              <w:spacing w:after="0"/>
              <w:jc w:val="center"/>
              <w:rPr>
                <w:color w:val="000000"/>
                <w:lang w:val="en-US"/>
              </w:rPr>
            </w:pPr>
            <w:r w:rsidRPr="0069281C">
              <w:rPr>
                <w:color w:val="000000"/>
                <w:lang w:val="en-US"/>
              </w:rPr>
              <w:t>992</w:t>
            </w:r>
          </w:p>
        </w:tc>
        <w:tc>
          <w:tcPr>
            <w:tcW w:w="1559" w:type="dxa"/>
            <w:tcBorders>
              <w:top w:val="nil"/>
              <w:left w:val="nil"/>
              <w:bottom w:val="single" w:sz="8" w:space="0" w:color="auto"/>
              <w:right w:val="single" w:sz="8" w:space="0" w:color="auto"/>
            </w:tcBorders>
            <w:shd w:val="clear" w:color="auto" w:fill="auto"/>
            <w:vAlign w:val="center"/>
            <w:hideMark/>
          </w:tcPr>
          <w:p w14:paraId="0821EA0E" w14:textId="77777777" w:rsidR="000F35A0" w:rsidRPr="0069281C" w:rsidRDefault="000F35A0" w:rsidP="000F35A0">
            <w:pPr>
              <w:spacing w:after="0"/>
              <w:jc w:val="center"/>
              <w:rPr>
                <w:color w:val="000000"/>
                <w:lang w:val="en-US"/>
              </w:rPr>
            </w:pPr>
            <w:r w:rsidRPr="0069281C">
              <w:rPr>
                <w:color w:val="000000"/>
                <w:lang w:val="en-US"/>
              </w:rPr>
              <w:t>0,145</w:t>
            </w:r>
          </w:p>
        </w:tc>
        <w:tc>
          <w:tcPr>
            <w:tcW w:w="2097" w:type="dxa"/>
            <w:tcBorders>
              <w:top w:val="nil"/>
              <w:left w:val="nil"/>
              <w:bottom w:val="single" w:sz="8" w:space="0" w:color="auto"/>
              <w:right w:val="single" w:sz="8" w:space="0" w:color="auto"/>
            </w:tcBorders>
            <w:shd w:val="clear" w:color="auto" w:fill="auto"/>
            <w:vAlign w:val="center"/>
            <w:hideMark/>
          </w:tcPr>
          <w:p w14:paraId="181CDD8D" w14:textId="7456511A" w:rsidR="000F35A0" w:rsidRPr="0069281C" w:rsidRDefault="000F35A0" w:rsidP="000F35A0">
            <w:pPr>
              <w:spacing w:after="0"/>
              <w:rPr>
                <w:i/>
                <w:iCs/>
                <w:color w:val="000000"/>
                <w:lang w:val="en-US"/>
              </w:rPr>
            </w:pPr>
            <w:r w:rsidRPr="0069281C">
              <w:rPr>
                <w:i/>
                <w:iCs/>
                <w:color w:val="000000"/>
                <w:lang w:val="en-US"/>
              </w:rPr>
              <w:t>L. lactis</w:t>
            </w:r>
            <w:r w:rsidR="00465003">
              <w:rPr>
                <w:iCs/>
                <w:color w:val="000000"/>
                <w:lang w:val="en-US"/>
              </w:rPr>
              <w:t xml:space="preserve"> </w:t>
            </w:r>
            <w:r w:rsidR="00D77F9A">
              <w:rPr>
                <w:iCs/>
                <w:color w:val="000000"/>
                <w:lang w:val="en-US"/>
              </w:rPr>
              <w:fldChar w:fldCharType="begin" w:fldLock="1"/>
            </w:r>
            <w:r w:rsidR="00E11010">
              <w:rPr>
                <w:iCs/>
                <w:color w:val="000000"/>
                <w:lang w:val="en-US"/>
              </w:rPr>
              <w:instrText>ADDIN CSL_CITATION {"citationItems":[{"id":"ITEM-1","itemData":{"DOI":"10.1186/1471-2180-5-39","abstract":"Background: Genome-scale flux models are useful tools to represent and analyze microbial metabolism. In this work we reconstructed the metabolic network of the lactic acid bacteria Lactococcus lactis and developed a genome-scale flux model able to simulate and analyze network capabilities and whole-cell function under aerobic and anaerobic continuous cultures. Flux balance analysis (FBA) and minimization of metabolic adjustment (MOMA) were used as modeling frameworks. Results: The metabolic network was reconstructed using the annotated genome sequence from L. lactis ssp. lactis IL1403 together with physiological and biochemical information. The established network comprised a total of 621 reactions and 509 metabolites, representing the overall metabolism of L. lactis. Experimental data reported in the literature was used to fit the model to phenotypic observations. Regulatory constraints had to be included to simulate certain metabolic features, such as the shift from homo to heterolactic fermentation. A minimal medium for in silico growth was identified, indicating the requirement of four amino acids in addition to a sugar. Remarkably, de novo biosynthesis of four other amino acids was observed even when all amino acids were supplied, which is in good agreement with experimental observations. Additionally, enhanced metabolic engineering strategies for improved diacetyl producing strains were designed. Conclusion: The L. lactis metabolic network can now be used for a better understanding of lactococcal metabolic capabilities and potential, for the design of enhanced metabolic engineering strategies and for integration with other types of 'omic' data, to assist in finding new information on cellular organization and function.","author":[{"dropping-particle":"","family":"Oliveira","given":"Ana Paula","non-dropping-particle":"","parse-names":false,"suffix":""},{"dropping-particle":"","family":"Nielsen","given":"Jens","non-dropping-particle":"","parse-names":false,"suffix":""},{"dropping-particle":"","family":"Förster","given":"Jochen","non-dropping-particle":"","parse-names":false,"suffix":""}],"container-title":"BMC Microbiology","id":"ITEM-1","issue":"1","issued":{"date-parts":[["2005"]]},"title":"Modeling Lactococcus lactis using a genome-scale flux model","type":"article-journal","volume":"5"},"uris":["http://www.mendeley.com/documents/?uuid=7d5aac7d-2ff5-40d9-be7d-c127e0cc93e3"]}],"mendeley":{"formattedCitation":"(Oliveira et al., 2005)","plainTextFormattedCitation":"(Oliveira et al., 2005)","previouslyFormattedCitation":"[1]"},"properties":{"noteIndex":0},"schema":"https://github.com/citation-style-language/schema/raw/master/csl-citation.json"}</w:instrText>
            </w:r>
            <w:r w:rsidR="00D77F9A">
              <w:rPr>
                <w:iCs/>
                <w:color w:val="000000"/>
                <w:lang w:val="en-US"/>
              </w:rPr>
              <w:fldChar w:fldCharType="separate"/>
            </w:r>
            <w:r w:rsidR="00E11010" w:rsidRPr="00E11010">
              <w:rPr>
                <w:iCs/>
                <w:noProof/>
                <w:color w:val="000000"/>
                <w:lang w:val="en-US"/>
              </w:rPr>
              <w:t>(Oliveira et al., 2005)</w:t>
            </w:r>
            <w:r w:rsidR="00D77F9A">
              <w:rPr>
                <w:iCs/>
                <w:color w:val="000000"/>
                <w:lang w:val="en-US"/>
              </w:rPr>
              <w:fldChar w:fldCharType="end"/>
            </w:r>
          </w:p>
        </w:tc>
      </w:tr>
      <w:tr w:rsidR="00465003" w:rsidRPr="0069281C" w14:paraId="6EBC7011" w14:textId="77777777" w:rsidTr="00465003">
        <w:trPr>
          <w:trHeight w:val="268"/>
        </w:trPr>
        <w:tc>
          <w:tcPr>
            <w:tcW w:w="1760" w:type="dxa"/>
            <w:tcBorders>
              <w:top w:val="nil"/>
              <w:left w:val="single" w:sz="8" w:space="0" w:color="auto"/>
              <w:bottom w:val="single" w:sz="8" w:space="0" w:color="auto"/>
              <w:right w:val="nil"/>
            </w:tcBorders>
            <w:shd w:val="clear" w:color="auto" w:fill="auto"/>
            <w:noWrap/>
            <w:vAlign w:val="center"/>
            <w:hideMark/>
          </w:tcPr>
          <w:p w14:paraId="1D65C612" w14:textId="77777777" w:rsidR="000F35A0" w:rsidRPr="0069281C" w:rsidRDefault="000F35A0" w:rsidP="000F35A0">
            <w:pPr>
              <w:spacing w:after="0"/>
              <w:rPr>
                <w:color w:val="000000"/>
                <w:sz w:val="16"/>
                <w:szCs w:val="16"/>
                <w:lang w:val="en-US"/>
              </w:rPr>
            </w:pPr>
            <w:r w:rsidRPr="0069281C">
              <w:rPr>
                <w:color w:val="000000"/>
                <w:sz w:val="16"/>
                <w:szCs w:val="16"/>
                <w:lang w:val="en-US"/>
              </w:rPr>
              <w:t> </w:t>
            </w:r>
          </w:p>
        </w:tc>
        <w:tc>
          <w:tcPr>
            <w:tcW w:w="1594" w:type="dxa"/>
            <w:tcBorders>
              <w:top w:val="nil"/>
              <w:left w:val="single" w:sz="8" w:space="0" w:color="auto"/>
              <w:bottom w:val="single" w:sz="8" w:space="0" w:color="auto"/>
              <w:right w:val="single" w:sz="8" w:space="0" w:color="auto"/>
            </w:tcBorders>
            <w:shd w:val="clear" w:color="auto" w:fill="auto"/>
            <w:vAlign w:val="center"/>
            <w:hideMark/>
          </w:tcPr>
          <w:p w14:paraId="646C6CF7" w14:textId="77777777" w:rsidR="000F35A0" w:rsidRPr="0069281C" w:rsidRDefault="000F35A0" w:rsidP="000F35A0">
            <w:pPr>
              <w:spacing w:after="0"/>
              <w:rPr>
                <w:color w:val="000000"/>
                <w:lang w:val="en-US"/>
              </w:rPr>
            </w:pPr>
            <w:r w:rsidRPr="0069281C">
              <w:rPr>
                <w:color w:val="000000"/>
                <w:lang w:val="en-US"/>
              </w:rPr>
              <w:t>Total</w:t>
            </w:r>
          </w:p>
        </w:tc>
        <w:tc>
          <w:tcPr>
            <w:tcW w:w="1022" w:type="dxa"/>
            <w:tcBorders>
              <w:top w:val="nil"/>
              <w:left w:val="nil"/>
              <w:bottom w:val="single" w:sz="8" w:space="0" w:color="auto"/>
              <w:right w:val="nil"/>
            </w:tcBorders>
            <w:shd w:val="clear" w:color="auto" w:fill="auto"/>
            <w:noWrap/>
            <w:vAlign w:val="center"/>
            <w:hideMark/>
          </w:tcPr>
          <w:p w14:paraId="2E9D2410" w14:textId="77777777" w:rsidR="000F35A0" w:rsidRPr="0069281C" w:rsidRDefault="000F35A0" w:rsidP="000F35A0">
            <w:pPr>
              <w:spacing w:after="0"/>
              <w:jc w:val="center"/>
              <w:rPr>
                <w:color w:val="000000"/>
                <w:lang w:val="en-US"/>
              </w:rPr>
            </w:pPr>
            <w:r w:rsidRPr="0069281C">
              <w:rPr>
                <w:color w:val="000000"/>
                <w:lang w:val="en-US"/>
              </w:rPr>
              <w:t>82,3%</w:t>
            </w:r>
          </w:p>
        </w:tc>
        <w:tc>
          <w:tcPr>
            <w:tcW w:w="1559" w:type="dxa"/>
            <w:tcBorders>
              <w:top w:val="nil"/>
              <w:left w:val="single" w:sz="8" w:space="0" w:color="auto"/>
              <w:bottom w:val="single" w:sz="8" w:space="0" w:color="auto"/>
              <w:right w:val="single" w:sz="8" w:space="0" w:color="auto"/>
            </w:tcBorders>
            <w:shd w:val="clear" w:color="auto" w:fill="auto"/>
            <w:noWrap/>
            <w:vAlign w:val="center"/>
            <w:hideMark/>
          </w:tcPr>
          <w:p w14:paraId="5D7D359B" w14:textId="77777777" w:rsidR="000F35A0" w:rsidRPr="0069281C" w:rsidRDefault="000F35A0" w:rsidP="000F35A0">
            <w:pPr>
              <w:spacing w:after="0"/>
              <w:jc w:val="center"/>
              <w:rPr>
                <w:color w:val="000000"/>
                <w:lang w:val="en-US"/>
              </w:rPr>
            </w:pPr>
            <w:r w:rsidRPr="0069281C">
              <w:rPr>
                <w:color w:val="000000"/>
                <w:lang w:val="en-US"/>
              </w:rPr>
              <w:t>100%</w:t>
            </w:r>
          </w:p>
        </w:tc>
        <w:tc>
          <w:tcPr>
            <w:tcW w:w="1418" w:type="dxa"/>
            <w:tcBorders>
              <w:top w:val="nil"/>
              <w:left w:val="nil"/>
              <w:bottom w:val="single" w:sz="8" w:space="0" w:color="auto"/>
              <w:right w:val="nil"/>
            </w:tcBorders>
            <w:shd w:val="clear" w:color="auto" w:fill="auto"/>
            <w:noWrap/>
            <w:vAlign w:val="center"/>
            <w:hideMark/>
          </w:tcPr>
          <w:p w14:paraId="277E5334" w14:textId="77777777" w:rsidR="000F35A0" w:rsidRPr="0069281C" w:rsidRDefault="000F35A0" w:rsidP="000F35A0">
            <w:pPr>
              <w:spacing w:after="0"/>
              <w:jc w:val="center"/>
              <w:rPr>
                <w:color w:val="000000"/>
                <w:lang w:val="en-US"/>
              </w:rPr>
            </w:pPr>
            <w:r w:rsidRPr="0069281C">
              <w:rPr>
                <w:color w:val="000000"/>
                <w:lang w:val="en-US"/>
              </w:rPr>
              <w:t> </w:t>
            </w:r>
          </w:p>
        </w:tc>
        <w:tc>
          <w:tcPr>
            <w:tcW w:w="1559" w:type="dxa"/>
            <w:tcBorders>
              <w:top w:val="nil"/>
              <w:left w:val="single" w:sz="8" w:space="0" w:color="auto"/>
              <w:bottom w:val="single" w:sz="8" w:space="0" w:color="auto"/>
              <w:right w:val="single" w:sz="8" w:space="0" w:color="auto"/>
            </w:tcBorders>
            <w:shd w:val="clear" w:color="auto" w:fill="auto"/>
            <w:noWrap/>
            <w:vAlign w:val="center"/>
            <w:hideMark/>
          </w:tcPr>
          <w:p w14:paraId="344AA7D7" w14:textId="77777777" w:rsidR="000F35A0" w:rsidRPr="0069281C" w:rsidRDefault="000F35A0" w:rsidP="000F35A0">
            <w:pPr>
              <w:spacing w:after="0"/>
              <w:jc w:val="center"/>
              <w:rPr>
                <w:color w:val="000000"/>
                <w:lang w:val="en-US"/>
              </w:rPr>
            </w:pPr>
            <w:r w:rsidRPr="0069281C">
              <w:rPr>
                <w:color w:val="000000"/>
                <w:lang w:val="en-US"/>
              </w:rPr>
              <w:t> </w:t>
            </w:r>
          </w:p>
        </w:tc>
        <w:tc>
          <w:tcPr>
            <w:tcW w:w="2097" w:type="dxa"/>
            <w:tcBorders>
              <w:top w:val="nil"/>
              <w:left w:val="nil"/>
              <w:bottom w:val="single" w:sz="8" w:space="0" w:color="auto"/>
              <w:right w:val="single" w:sz="8" w:space="0" w:color="auto"/>
            </w:tcBorders>
            <w:shd w:val="clear" w:color="auto" w:fill="auto"/>
            <w:noWrap/>
            <w:vAlign w:val="bottom"/>
            <w:hideMark/>
          </w:tcPr>
          <w:p w14:paraId="2F15B48E" w14:textId="77777777" w:rsidR="000F35A0" w:rsidRPr="0069281C" w:rsidRDefault="000F35A0" w:rsidP="000F35A0">
            <w:pPr>
              <w:spacing w:after="0"/>
              <w:rPr>
                <w:color w:val="000000"/>
                <w:lang w:val="en-US"/>
              </w:rPr>
            </w:pPr>
            <w:r w:rsidRPr="0069281C">
              <w:rPr>
                <w:color w:val="000000"/>
                <w:lang w:val="en-US"/>
              </w:rPr>
              <w:t> </w:t>
            </w:r>
          </w:p>
        </w:tc>
      </w:tr>
    </w:tbl>
    <w:p w14:paraId="09FFC2F3" w14:textId="33E6A0BF" w:rsidR="0092713D" w:rsidRPr="0069281C" w:rsidRDefault="0092713D">
      <w:pPr>
        <w:rPr>
          <w:lang w:val="en-US"/>
        </w:rPr>
      </w:pPr>
    </w:p>
    <w:p w14:paraId="31B18944" w14:textId="7F0A8D83" w:rsidR="0092713D" w:rsidRPr="0069281C" w:rsidRDefault="0092713D">
      <w:pPr>
        <w:rPr>
          <w:lang w:val="en-US"/>
        </w:rPr>
      </w:pPr>
      <w:r w:rsidRPr="0069281C">
        <w:rPr>
          <w:lang w:val="en-US"/>
        </w:rPr>
        <w:t>0.1</w:t>
      </w:r>
      <w:r w:rsidR="00F000C2" w:rsidRPr="0069281C">
        <w:rPr>
          <w:lang w:val="en-US"/>
        </w:rPr>
        <w:t>8</w:t>
      </w:r>
      <w:r w:rsidR="000F35A0" w:rsidRPr="0069281C">
        <w:rPr>
          <w:lang w:val="en-US"/>
        </w:rPr>
        <w:t>6</w:t>
      </w:r>
      <w:r w:rsidRPr="0069281C">
        <w:rPr>
          <w:lang w:val="en-US"/>
        </w:rPr>
        <w:t xml:space="preserve"> </w:t>
      </w:r>
      <w:proofErr w:type="spellStart"/>
      <w:r w:rsidRPr="0069281C">
        <w:rPr>
          <w:lang w:val="en-US"/>
        </w:rPr>
        <w:t>CPS_LRE_c</w:t>
      </w:r>
      <w:proofErr w:type="spellEnd"/>
      <w:r w:rsidRPr="0069281C">
        <w:rPr>
          <w:lang w:val="en-US"/>
        </w:rPr>
        <w:t xml:space="preserve"> + 0.07</w:t>
      </w:r>
      <w:r w:rsidR="000F35A0" w:rsidRPr="0069281C">
        <w:rPr>
          <w:lang w:val="en-US"/>
        </w:rPr>
        <w:t>5</w:t>
      </w:r>
      <w:r w:rsidRPr="0069281C">
        <w:rPr>
          <w:lang w:val="en-US"/>
        </w:rPr>
        <w:t xml:space="preserve"> </w:t>
      </w:r>
      <w:proofErr w:type="spellStart"/>
      <w:r w:rsidRPr="0069281C">
        <w:rPr>
          <w:lang w:val="en-US"/>
        </w:rPr>
        <w:t>DNA_LRE_c</w:t>
      </w:r>
      <w:proofErr w:type="spellEnd"/>
      <w:r w:rsidRPr="0069281C">
        <w:rPr>
          <w:lang w:val="en-US"/>
        </w:rPr>
        <w:t xml:space="preserve"> + 0.09</w:t>
      </w:r>
      <w:r w:rsidR="000F35A0" w:rsidRPr="0069281C">
        <w:rPr>
          <w:lang w:val="en-US"/>
        </w:rPr>
        <w:t>6</w:t>
      </w:r>
      <w:r w:rsidRPr="0069281C">
        <w:rPr>
          <w:lang w:val="en-US"/>
        </w:rPr>
        <w:t xml:space="preserve"> </w:t>
      </w:r>
      <w:proofErr w:type="spellStart"/>
      <w:r w:rsidRPr="0069281C">
        <w:rPr>
          <w:lang w:val="en-US"/>
        </w:rPr>
        <w:t>LIP_LRE_c</w:t>
      </w:r>
      <w:proofErr w:type="spellEnd"/>
      <w:r w:rsidRPr="0069281C">
        <w:rPr>
          <w:lang w:val="en-US"/>
        </w:rPr>
        <w:t xml:space="preserve"> + 0.01</w:t>
      </w:r>
      <w:r w:rsidR="00F000C2" w:rsidRPr="0069281C">
        <w:rPr>
          <w:lang w:val="en-US"/>
        </w:rPr>
        <w:t>8</w:t>
      </w:r>
      <w:r w:rsidRPr="0069281C">
        <w:rPr>
          <w:lang w:val="en-US"/>
        </w:rPr>
        <w:t xml:space="preserve"> </w:t>
      </w:r>
      <w:proofErr w:type="spellStart"/>
      <w:r w:rsidRPr="0069281C">
        <w:rPr>
          <w:lang w:val="en-US"/>
        </w:rPr>
        <w:t>LTAtotal_LRE_c</w:t>
      </w:r>
      <w:proofErr w:type="spellEnd"/>
      <w:r w:rsidRPr="0069281C">
        <w:rPr>
          <w:lang w:val="en-US"/>
        </w:rPr>
        <w:t xml:space="preserve"> + 0.1</w:t>
      </w:r>
      <w:r w:rsidR="000F35A0" w:rsidRPr="0069281C">
        <w:rPr>
          <w:lang w:val="en-US"/>
        </w:rPr>
        <w:t>45</w:t>
      </w:r>
      <w:r w:rsidRPr="0069281C">
        <w:rPr>
          <w:lang w:val="en-US"/>
        </w:rPr>
        <w:t xml:space="preserve"> PGlac2_c + </w:t>
      </w:r>
      <w:r w:rsidR="00BC0861" w:rsidRPr="0069281C">
        <w:rPr>
          <w:lang w:val="en-US"/>
        </w:rPr>
        <w:t>3</w:t>
      </w:r>
      <w:r w:rsidRPr="0069281C">
        <w:rPr>
          <w:lang w:val="en-US"/>
        </w:rPr>
        <w:t>.</w:t>
      </w:r>
      <w:r w:rsidR="009D083D">
        <w:rPr>
          <w:lang w:val="en-US"/>
        </w:rPr>
        <w:t>311</w:t>
      </w:r>
      <w:r w:rsidRPr="0069281C">
        <w:rPr>
          <w:lang w:val="en-US"/>
        </w:rPr>
        <w:t xml:space="preserve"> </w:t>
      </w:r>
      <w:proofErr w:type="spellStart"/>
      <w:r w:rsidR="00DE4455" w:rsidRPr="0069281C">
        <w:rPr>
          <w:color w:val="000000"/>
          <w:lang w:val="en-US"/>
        </w:rPr>
        <w:t>PROT_LRE_c</w:t>
      </w:r>
      <w:proofErr w:type="spellEnd"/>
      <w:r w:rsidR="00DE4455" w:rsidRPr="0069281C">
        <w:rPr>
          <w:lang w:val="en-US"/>
        </w:rPr>
        <w:t xml:space="preserve"> </w:t>
      </w:r>
      <w:r w:rsidRPr="0069281C">
        <w:rPr>
          <w:lang w:val="en-US"/>
        </w:rPr>
        <w:t>+ 0.</w:t>
      </w:r>
      <w:r w:rsidR="00BC0861" w:rsidRPr="0069281C">
        <w:rPr>
          <w:lang w:val="en-US"/>
        </w:rPr>
        <w:t>3</w:t>
      </w:r>
      <w:r w:rsidR="000F35A0" w:rsidRPr="0069281C">
        <w:rPr>
          <w:lang w:val="en-US"/>
        </w:rPr>
        <w:t>40</w:t>
      </w:r>
      <w:r w:rsidRPr="0069281C">
        <w:rPr>
          <w:lang w:val="en-US"/>
        </w:rPr>
        <w:t xml:space="preserve"> </w:t>
      </w:r>
      <w:proofErr w:type="spellStart"/>
      <w:r w:rsidRPr="0069281C">
        <w:rPr>
          <w:lang w:val="en-US"/>
        </w:rPr>
        <w:t>RNA_LRE_c</w:t>
      </w:r>
      <w:proofErr w:type="spellEnd"/>
      <w:r w:rsidRPr="0069281C">
        <w:rPr>
          <w:lang w:val="en-US"/>
        </w:rPr>
        <w:t xml:space="preserve"> + </w:t>
      </w:r>
      <w:r w:rsidR="000E5BEC">
        <w:rPr>
          <w:lang w:val="en-US"/>
        </w:rPr>
        <w:t>10</w:t>
      </w:r>
      <w:r w:rsidRPr="0069281C">
        <w:rPr>
          <w:lang w:val="en-US"/>
        </w:rPr>
        <w:t xml:space="preserve">.2 </w:t>
      </w:r>
      <w:proofErr w:type="spellStart"/>
      <w:r w:rsidRPr="0069281C">
        <w:rPr>
          <w:lang w:val="en-US"/>
        </w:rPr>
        <w:t>atp_c</w:t>
      </w:r>
      <w:proofErr w:type="spellEnd"/>
      <w:r w:rsidRPr="0069281C">
        <w:rPr>
          <w:lang w:val="en-US"/>
        </w:rPr>
        <w:t xml:space="preserve"> + 1e-05 </w:t>
      </w:r>
      <w:proofErr w:type="spellStart"/>
      <w:r w:rsidRPr="0069281C">
        <w:rPr>
          <w:lang w:val="en-US"/>
        </w:rPr>
        <w:t>btn_c</w:t>
      </w:r>
      <w:proofErr w:type="spellEnd"/>
      <w:r w:rsidRPr="0069281C">
        <w:rPr>
          <w:lang w:val="en-US"/>
        </w:rPr>
        <w:t xml:space="preserve"> + 0.0002 </w:t>
      </w:r>
      <w:proofErr w:type="spellStart"/>
      <w:r w:rsidRPr="0069281C">
        <w:rPr>
          <w:lang w:val="en-US"/>
        </w:rPr>
        <w:t>coa_c</w:t>
      </w:r>
      <w:proofErr w:type="spellEnd"/>
      <w:r w:rsidRPr="0069281C">
        <w:rPr>
          <w:lang w:val="en-US"/>
        </w:rPr>
        <w:t xml:space="preserve"> + </w:t>
      </w:r>
      <w:r w:rsidR="000E5BEC">
        <w:rPr>
          <w:lang w:val="en-US"/>
        </w:rPr>
        <w:t>10</w:t>
      </w:r>
      <w:r w:rsidRPr="0069281C">
        <w:rPr>
          <w:lang w:val="en-US"/>
        </w:rPr>
        <w:t xml:space="preserve">.2 h2o_c + 0.0002 </w:t>
      </w:r>
      <w:proofErr w:type="spellStart"/>
      <w:r w:rsidRPr="0069281C">
        <w:rPr>
          <w:lang w:val="en-US"/>
        </w:rPr>
        <w:t>nad_c</w:t>
      </w:r>
      <w:proofErr w:type="spellEnd"/>
      <w:r w:rsidRPr="0069281C">
        <w:rPr>
          <w:lang w:val="en-US"/>
        </w:rPr>
        <w:t xml:space="preserve"> + 1e-06 pydx5p_c + 1e-05 </w:t>
      </w:r>
      <w:proofErr w:type="spellStart"/>
      <w:r w:rsidRPr="0069281C">
        <w:rPr>
          <w:lang w:val="en-US"/>
        </w:rPr>
        <w:t>thf_c</w:t>
      </w:r>
      <w:proofErr w:type="spellEnd"/>
      <w:r w:rsidRPr="0069281C">
        <w:rPr>
          <w:lang w:val="en-US"/>
        </w:rPr>
        <w:t xml:space="preserve"> + 1e-05 </w:t>
      </w:r>
      <w:proofErr w:type="spellStart"/>
      <w:r w:rsidRPr="0069281C">
        <w:rPr>
          <w:lang w:val="en-US"/>
        </w:rPr>
        <w:t>thmpp_c</w:t>
      </w:r>
      <w:proofErr w:type="spellEnd"/>
      <w:r w:rsidRPr="0069281C">
        <w:rPr>
          <w:lang w:val="en-US"/>
        </w:rPr>
        <w:t xml:space="preserve"> + 0.0002 </w:t>
      </w:r>
      <w:proofErr w:type="spellStart"/>
      <w:r w:rsidRPr="0069281C">
        <w:rPr>
          <w:lang w:val="en-US"/>
        </w:rPr>
        <w:t>udcpdp_c</w:t>
      </w:r>
      <w:proofErr w:type="spellEnd"/>
      <w:r w:rsidR="00371E06" w:rsidRPr="0069281C">
        <w:rPr>
          <w:lang w:val="en-US"/>
        </w:rPr>
        <w:t xml:space="preserve"> + 0.00001 </w:t>
      </w:r>
      <w:proofErr w:type="spellStart"/>
      <w:r w:rsidR="00371E06" w:rsidRPr="0069281C">
        <w:rPr>
          <w:lang w:val="en-US"/>
        </w:rPr>
        <w:t>adeadocbl_c</w:t>
      </w:r>
      <w:proofErr w:type="spellEnd"/>
      <w:r w:rsidR="00371E06" w:rsidRPr="0069281C">
        <w:rPr>
          <w:lang w:val="en-US"/>
        </w:rPr>
        <w:t xml:space="preserve"> </w:t>
      </w:r>
      <w:r w:rsidRPr="0069281C">
        <w:rPr>
          <w:lang w:val="en-US"/>
        </w:rPr>
        <w:t xml:space="preserve">--&gt; </w:t>
      </w:r>
      <w:r w:rsidR="000E5BEC">
        <w:rPr>
          <w:lang w:val="en-US"/>
        </w:rPr>
        <w:t>10</w:t>
      </w:r>
      <w:r w:rsidRPr="0069281C">
        <w:rPr>
          <w:lang w:val="en-US"/>
        </w:rPr>
        <w:t xml:space="preserve">.2 </w:t>
      </w:r>
      <w:proofErr w:type="spellStart"/>
      <w:r w:rsidRPr="0069281C">
        <w:rPr>
          <w:lang w:val="en-US"/>
        </w:rPr>
        <w:t>adp_c</w:t>
      </w:r>
      <w:proofErr w:type="spellEnd"/>
      <w:r w:rsidRPr="0069281C">
        <w:rPr>
          <w:lang w:val="en-US"/>
        </w:rPr>
        <w:t xml:space="preserve"> + </w:t>
      </w:r>
      <w:r w:rsidR="000E5BEC">
        <w:rPr>
          <w:lang w:val="en-US"/>
        </w:rPr>
        <w:t>10</w:t>
      </w:r>
      <w:r w:rsidRPr="0069281C">
        <w:rPr>
          <w:lang w:val="en-US"/>
        </w:rPr>
        <w:t xml:space="preserve">.2 </w:t>
      </w:r>
      <w:proofErr w:type="spellStart"/>
      <w:r w:rsidRPr="0069281C">
        <w:rPr>
          <w:lang w:val="en-US"/>
        </w:rPr>
        <w:t>h_c</w:t>
      </w:r>
      <w:proofErr w:type="spellEnd"/>
      <w:r w:rsidRPr="0069281C">
        <w:rPr>
          <w:lang w:val="en-US"/>
        </w:rPr>
        <w:t xml:space="preserve"> + </w:t>
      </w:r>
      <w:r w:rsidR="000E5BEC">
        <w:rPr>
          <w:lang w:val="en-US"/>
        </w:rPr>
        <w:t>10</w:t>
      </w:r>
      <w:r w:rsidRPr="0069281C">
        <w:rPr>
          <w:lang w:val="en-US"/>
        </w:rPr>
        <w:t xml:space="preserve">.2 </w:t>
      </w:r>
      <w:proofErr w:type="spellStart"/>
      <w:r w:rsidRPr="0069281C">
        <w:rPr>
          <w:lang w:val="en-US"/>
        </w:rPr>
        <w:t>pi_c</w:t>
      </w:r>
      <w:proofErr w:type="spellEnd"/>
    </w:p>
    <w:p w14:paraId="500837E9" w14:textId="7A31CA54" w:rsidR="000A14BC" w:rsidRPr="00F63797" w:rsidRDefault="005B08D4">
      <w:pPr>
        <w:rPr>
          <w:color w:val="000000"/>
          <w:bdr w:val="none" w:sz="0" w:space="0" w:color="auto" w:frame="1"/>
          <w:shd w:val="clear" w:color="auto" w:fill="FFFFFF"/>
          <w:lang w:val="en-US"/>
        </w:rPr>
      </w:pPr>
      <w:r w:rsidRPr="0069281C">
        <w:rPr>
          <w:lang w:val="en-US"/>
        </w:rPr>
        <w:t xml:space="preserve">Flux through </w:t>
      </w:r>
      <w:r w:rsidR="000A14BC" w:rsidRPr="0069281C">
        <w:rPr>
          <w:lang w:val="en-US"/>
        </w:rPr>
        <w:t xml:space="preserve">ATPM </w:t>
      </w:r>
      <w:r w:rsidRPr="0069281C">
        <w:rPr>
          <w:lang w:val="en-US"/>
        </w:rPr>
        <w:t>is</w:t>
      </w:r>
      <w:r w:rsidR="000A14BC" w:rsidRPr="0069281C">
        <w:rPr>
          <w:lang w:val="en-US"/>
        </w:rPr>
        <w:t xml:space="preserve"> </w:t>
      </w:r>
      <w:r w:rsidR="00A0457B" w:rsidRPr="00F63797">
        <w:rPr>
          <w:lang w:val="en-US"/>
        </w:rPr>
        <w:t>fixed at:</w:t>
      </w:r>
      <w:r w:rsidR="000A14BC" w:rsidRPr="00F63797">
        <w:rPr>
          <w:lang w:val="en-US"/>
        </w:rPr>
        <w:t xml:space="preserve"> </w:t>
      </w:r>
      <w:r w:rsidR="000A14BC" w:rsidRPr="00F63797">
        <w:rPr>
          <w:color w:val="000000"/>
          <w:shd w:val="clear" w:color="auto" w:fill="FFFFFF"/>
          <w:lang w:val="en-US"/>
        </w:rPr>
        <w:t> 0.36 mmol h</w:t>
      </w:r>
      <w:r w:rsidR="000A14BC" w:rsidRPr="00F63797">
        <w:rPr>
          <w:color w:val="000000"/>
          <w:bdr w:val="none" w:sz="0" w:space="0" w:color="auto" w:frame="1"/>
          <w:shd w:val="clear" w:color="auto" w:fill="FFFFFF"/>
          <w:vertAlign w:val="superscript"/>
          <w:lang w:val="en-US"/>
        </w:rPr>
        <w:t>-1</w:t>
      </w:r>
      <w:r w:rsidR="000A14BC" w:rsidRPr="00F63797">
        <w:rPr>
          <w:color w:val="000000"/>
          <w:shd w:val="clear" w:color="auto" w:fill="FFFFFF"/>
          <w:lang w:val="en-US"/>
        </w:rPr>
        <w:t> gDW</w:t>
      </w:r>
      <w:r w:rsidR="000A14BC" w:rsidRPr="00F63797">
        <w:rPr>
          <w:color w:val="000000"/>
          <w:bdr w:val="none" w:sz="0" w:space="0" w:color="auto" w:frame="1"/>
          <w:shd w:val="clear" w:color="auto" w:fill="FFFFFF"/>
          <w:vertAlign w:val="superscript"/>
          <w:lang w:val="en-US"/>
        </w:rPr>
        <w:t xml:space="preserve">-1 </w:t>
      </w:r>
      <w:r w:rsidR="000A14BC" w:rsidRPr="00F63797">
        <w:rPr>
          <w:color w:val="000000"/>
          <w:bdr w:val="none" w:sz="0" w:space="0" w:color="auto" w:frame="1"/>
          <w:shd w:val="clear" w:color="auto" w:fill="FFFFFF"/>
          <w:lang w:val="en-US"/>
        </w:rPr>
        <w:t>(</w:t>
      </w:r>
      <w:r w:rsidR="000A14BC" w:rsidRPr="00F63797">
        <w:rPr>
          <w:i/>
          <w:color w:val="000000"/>
          <w:bdr w:val="none" w:sz="0" w:space="0" w:color="auto" w:frame="1"/>
          <w:shd w:val="clear" w:color="auto" w:fill="FFFFFF"/>
          <w:lang w:val="en-US"/>
        </w:rPr>
        <w:t xml:space="preserve">L. </w:t>
      </w:r>
      <w:r w:rsidRPr="00F63797">
        <w:rPr>
          <w:i/>
          <w:color w:val="000000"/>
          <w:bdr w:val="none" w:sz="0" w:space="0" w:color="auto" w:frame="1"/>
          <w:shd w:val="clear" w:color="auto" w:fill="FFFFFF"/>
          <w:lang w:val="en-US"/>
        </w:rPr>
        <w:t>p</w:t>
      </w:r>
      <w:r w:rsidR="000A14BC" w:rsidRPr="00F63797">
        <w:rPr>
          <w:i/>
          <w:color w:val="000000"/>
          <w:bdr w:val="none" w:sz="0" w:space="0" w:color="auto" w:frame="1"/>
          <w:shd w:val="clear" w:color="auto" w:fill="FFFFFF"/>
          <w:lang w:val="en-US"/>
        </w:rPr>
        <w:t>lantarum</w:t>
      </w:r>
      <w:r w:rsidR="0083256A" w:rsidRPr="00F63797">
        <w:rPr>
          <w:i/>
          <w:color w:val="000000"/>
          <w:bdr w:val="none" w:sz="0" w:space="0" w:color="auto" w:frame="1"/>
          <w:shd w:val="clear" w:color="auto" w:fill="FFFFFF"/>
          <w:lang w:val="en-US"/>
        </w:rPr>
        <w:t xml:space="preserve"> </w:t>
      </w:r>
      <w:r w:rsidR="00D77F9A">
        <w:rPr>
          <w:i/>
          <w:color w:val="000000"/>
          <w:bdr w:val="none" w:sz="0" w:space="0" w:color="auto" w:frame="1"/>
          <w:shd w:val="clear" w:color="auto" w:fill="FFFFFF"/>
          <w:lang w:val="en-US"/>
        </w:rPr>
        <w:fldChar w:fldCharType="begin" w:fldLock="1"/>
      </w:r>
      <w:r w:rsidR="00E11010">
        <w:rPr>
          <w:i/>
          <w:color w:val="000000"/>
          <w:bdr w:val="none" w:sz="0" w:space="0" w:color="auto" w:frame="1"/>
          <w:shd w:val="clear" w:color="auto" w:fill="FFFFFF"/>
          <w:lang w:val="en-US"/>
        </w:rPr>
        <w:instrText>ADDIN CSL_CITATION {"citationItems":[{"id":"ITEM-1","itemData":{"DOI":"10.1074/jbc.M606263200","ISBN":"4004140048","ISSN":"00219258","PMID":"17062565","abstract":"A genome-scale metabolic model of the lactic acid bacterium Lactobacillus plantarum WCFS1 was constructed based on genomic content and experimental data. The complete model includes 721 genes, 643 reactions, and 531 metabolites. Different stoichiometric modeling techniques were used for interpretation of complex fermentation data, as L. plantarum is adapted to nutrient-rich environments and only grows in media supplemented with vitamins and amino acids. (i) Based on experimental input and output fluxes, maximal ATP production was estimated and related to growth rate. (ii) Optimization of ATP production further identified amino acid catabolic pathways that were not previously associated with free-energy metabolism. (iii) Genome-scale elementary flux mode analysis identified 28 potential futile cycles. (iv) Flux variability analysis supplemented the elementary mode analysis in identifying parallel pathways, e.g. pathways with identical end products but different co-factor usage. Strongly increased flexibility in the metabolic network was observed when strict coupling between catabolic ATP production and anabolic consumption was relaxed. These results illustrate how a genome-scale metabolic model and associated constraint-based modeling techniques can be used to analyze the physiology of growth on a complex medium rather than a minimal salts medium. However, optimization of biomass formation using the Flux Balance Analysis approach, reported to successfully predict growth rate and by product formation in Escherichia coli and Saccharomyces cerevisiae, predicted too high biomass yields that were incompatible with the observed lactate production. The reason is that this approach assumes optimal efficiency of substrate to biomass conversion, and can therefore not predict the metabolically inefficient lactate formation.","author":[{"dropping-particle":"","family":"Teusink","given":"Bas","non-dropping-particle":"","parse-names":false,"suffix":""},{"dropping-particle":"","family":"Wiersma","given":"Anne","non-dropping-particle":"","parse-names":false,"suffix":""},{"dropping-particle":"","family":"Molenaar","given":"Douwe","non-dropping-particle":"","parse-names":false,"suffix":""},{"dropping-particle":"","family":"Francke","given":"Christof","non-dropping-particle":"","parse-names":false,"suffix":""},{"dropping-particle":"","family":"Vos","given":"Willem M.","non-dropping-particle":"De","parse-names":false,"suffix":""},{"dropping-particle":"","family":"Siezen","given":"Roland J.","non-dropping-particle":"","parse-names":false,"suffix":""},{"dropping-particle":"","family":"Smid","given":"Eddy J.","non-dropping-particle":"","parse-names":false,"suffix":""}],"container-title":"Journal of Biological Chemistry","id":"ITEM-1","issue":"52","issued":{"date-parts":[["2006"]]},"page":"40041-40048","title":"Analysis of growth of Lactobacillus plantarum WCFS1 on a complex medium using a genome-scale metabolic model","type":"article-journal","volume":"281"},"uris":["http://www.mendeley.com/documents/?uuid=3c5a9ea2-9bc1-4e15-bb68-b292d1691b9c"]}],"mendeley":{"formattedCitation":"(Teusink et al., 2006)","plainTextFormattedCitation":"(Teusink et al., 2006)","previouslyFormattedCitation":"[2]"},"properties":{"noteIndex":0},"schema":"https://github.com/citation-style-language/schema/raw/master/csl-citation.json"}</w:instrText>
      </w:r>
      <w:r w:rsidR="00D77F9A">
        <w:rPr>
          <w:i/>
          <w:color w:val="000000"/>
          <w:bdr w:val="none" w:sz="0" w:space="0" w:color="auto" w:frame="1"/>
          <w:shd w:val="clear" w:color="auto" w:fill="FFFFFF"/>
          <w:lang w:val="en-US"/>
        </w:rPr>
        <w:fldChar w:fldCharType="separate"/>
      </w:r>
      <w:r w:rsidR="00E11010" w:rsidRPr="00E11010">
        <w:rPr>
          <w:noProof/>
          <w:color w:val="000000"/>
          <w:bdr w:val="none" w:sz="0" w:space="0" w:color="auto" w:frame="1"/>
          <w:shd w:val="clear" w:color="auto" w:fill="FFFFFF"/>
          <w:lang w:val="en-US"/>
        </w:rPr>
        <w:t>(Teusink et al., 2006)</w:t>
      </w:r>
      <w:r w:rsidR="00D77F9A">
        <w:rPr>
          <w:i/>
          <w:color w:val="000000"/>
          <w:bdr w:val="none" w:sz="0" w:space="0" w:color="auto" w:frame="1"/>
          <w:shd w:val="clear" w:color="auto" w:fill="FFFFFF"/>
          <w:lang w:val="en-US"/>
        </w:rPr>
        <w:fldChar w:fldCharType="end"/>
      </w:r>
      <w:r w:rsidR="000A14BC" w:rsidRPr="00F63797">
        <w:rPr>
          <w:color w:val="000000"/>
          <w:bdr w:val="none" w:sz="0" w:space="0" w:color="auto" w:frame="1"/>
          <w:shd w:val="clear" w:color="auto" w:fill="FFFFFF"/>
          <w:lang w:val="en-US"/>
        </w:rPr>
        <w:t>)</w:t>
      </w:r>
    </w:p>
    <w:p w14:paraId="0423D844" w14:textId="77777777" w:rsidR="006A5F90" w:rsidRPr="0069281C" w:rsidRDefault="006A5F90">
      <w:pPr>
        <w:rPr>
          <w:b/>
          <w:sz w:val="24"/>
          <w:lang w:val="en-US"/>
        </w:rPr>
      </w:pPr>
      <w:r w:rsidRPr="0069281C">
        <w:rPr>
          <w:b/>
          <w:sz w:val="24"/>
          <w:lang w:val="en-US"/>
        </w:rPr>
        <w:t>Protein</w:t>
      </w:r>
    </w:p>
    <w:p w14:paraId="6E2C4878" w14:textId="109F7502" w:rsidR="007C1B4A" w:rsidRDefault="00DE4455">
      <w:pPr>
        <w:rPr>
          <w:lang w:val="en-US"/>
        </w:rPr>
      </w:pPr>
      <w:r>
        <w:rPr>
          <w:lang w:val="en-US"/>
        </w:rPr>
        <w:t>Amino acid composition analyzed following cell pellet hydrolysis (</w:t>
      </w:r>
      <w:proofErr w:type="spellStart"/>
      <w:r>
        <w:rPr>
          <w:lang w:val="en-US"/>
        </w:rPr>
        <w:t>Ansynth</w:t>
      </w:r>
      <w:proofErr w:type="spellEnd"/>
      <w:r>
        <w:rPr>
          <w:lang w:val="en-US"/>
        </w:rPr>
        <w:t>)</w:t>
      </w:r>
      <w:r w:rsidR="0083256A">
        <w:rPr>
          <w:lang w:val="en-US"/>
        </w:rPr>
        <w:t xml:space="preserve">. </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320"/>
        <w:gridCol w:w="1101"/>
        <w:gridCol w:w="1701"/>
        <w:gridCol w:w="1134"/>
        <w:gridCol w:w="1215"/>
        <w:gridCol w:w="1336"/>
      </w:tblGrid>
      <w:tr w:rsidR="007D6986" w:rsidRPr="007D6986" w14:paraId="13D8DE0F" w14:textId="77777777" w:rsidTr="007D6986">
        <w:trPr>
          <w:trHeight w:val="300"/>
        </w:trPr>
        <w:tc>
          <w:tcPr>
            <w:tcW w:w="1407" w:type="dxa"/>
            <w:shd w:val="clear" w:color="auto" w:fill="auto"/>
            <w:noWrap/>
            <w:vAlign w:val="bottom"/>
            <w:hideMark/>
          </w:tcPr>
          <w:p w14:paraId="0DBF25CB" w14:textId="77777777" w:rsidR="007D6986" w:rsidRPr="007D6986" w:rsidRDefault="007D6986" w:rsidP="007D6986">
            <w:pPr>
              <w:spacing w:after="0" w:line="240" w:lineRule="auto"/>
              <w:rPr>
                <w:rFonts w:ascii="Calibri" w:eastAsia="Times New Roman" w:hAnsi="Calibri" w:cs="Times New Roman"/>
                <w:b/>
                <w:color w:val="000000"/>
                <w:lang w:val="en-US"/>
              </w:rPr>
            </w:pPr>
            <w:r w:rsidRPr="007D6986">
              <w:rPr>
                <w:rFonts w:ascii="Calibri" w:eastAsia="Times New Roman" w:hAnsi="Calibri" w:cs="Times New Roman"/>
                <w:b/>
                <w:color w:val="000000"/>
                <w:lang w:val="en-US"/>
              </w:rPr>
              <w:t>Amino Acid</w:t>
            </w:r>
          </w:p>
        </w:tc>
        <w:tc>
          <w:tcPr>
            <w:tcW w:w="1320" w:type="dxa"/>
            <w:shd w:val="clear" w:color="auto" w:fill="auto"/>
            <w:vAlign w:val="bottom"/>
            <w:hideMark/>
          </w:tcPr>
          <w:p w14:paraId="79198893" w14:textId="24B7B8E5" w:rsidR="007D6986" w:rsidRPr="007D6986" w:rsidRDefault="007D6986" w:rsidP="007D6986">
            <w:pPr>
              <w:spacing w:after="0" w:line="240" w:lineRule="auto"/>
              <w:rPr>
                <w:rFonts w:ascii="Calibri" w:eastAsia="Times New Roman" w:hAnsi="Calibri" w:cs="Times New Roman"/>
                <w:b/>
                <w:color w:val="000000"/>
                <w:lang w:val="en-US"/>
              </w:rPr>
            </w:pPr>
            <w:r>
              <w:rPr>
                <w:rFonts w:ascii="Calibri" w:eastAsia="Times New Roman" w:hAnsi="Calibri" w:cs="Times New Roman"/>
                <w:b/>
                <w:color w:val="000000"/>
                <w:lang w:val="en-US"/>
              </w:rPr>
              <w:t xml:space="preserve">Fraction </w:t>
            </w:r>
            <w:r w:rsidRPr="007D6986">
              <w:rPr>
                <w:rFonts w:ascii="Calibri" w:eastAsia="Times New Roman" w:hAnsi="Calibri" w:cs="Times New Roman"/>
                <w:b/>
                <w:color w:val="000000"/>
                <w:lang w:val="en-US"/>
              </w:rPr>
              <w:t>g/</w:t>
            </w:r>
            <w:proofErr w:type="spellStart"/>
            <w:r w:rsidRPr="007D6986">
              <w:rPr>
                <w:rFonts w:ascii="Calibri" w:eastAsia="Times New Roman" w:hAnsi="Calibri" w:cs="Times New Roman"/>
                <w:b/>
                <w:color w:val="000000"/>
                <w:lang w:val="en-US"/>
              </w:rPr>
              <w:t>g</w:t>
            </w:r>
            <w:r w:rsidRPr="007D6986">
              <w:rPr>
                <w:rFonts w:ascii="Calibri" w:eastAsia="Times New Roman" w:hAnsi="Calibri" w:cs="Times New Roman"/>
                <w:b/>
                <w:color w:val="000000"/>
                <w:vertAlign w:val="subscript"/>
                <w:lang w:val="en-US"/>
              </w:rPr>
              <w:t>total</w:t>
            </w:r>
            <w:proofErr w:type="spellEnd"/>
            <w:r w:rsidRPr="007D6986">
              <w:rPr>
                <w:rFonts w:ascii="Calibri" w:eastAsia="Times New Roman" w:hAnsi="Calibri" w:cs="Times New Roman"/>
                <w:b/>
                <w:color w:val="000000"/>
                <w:vertAlign w:val="subscript"/>
                <w:lang w:val="en-US"/>
              </w:rPr>
              <w:t xml:space="preserve"> </w:t>
            </w:r>
            <w:proofErr w:type="spellStart"/>
            <w:r w:rsidRPr="007D6986">
              <w:rPr>
                <w:rFonts w:ascii="Calibri" w:eastAsia="Times New Roman" w:hAnsi="Calibri" w:cs="Times New Roman"/>
                <w:b/>
                <w:color w:val="000000"/>
                <w:vertAlign w:val="subscript"/>
                <w:lang w:val="en-US"/>
              </w:rPr>
              <w:t>a.a.</w:t>
            </w:r>
            <w:proofErr w:type="spellEnd"/>
          </w:p>
        </w:tc>
        <w:tc>
          <w:tcPr>
            <w:tcW w:w="1101" w:type="dxa"/>
            <w:shd w:val="clear" w:color="auto" w:fill="auto"/>
            <w:noWrap/>
            <w:vAlign w:val="bottom"/>
            <w:hideMark/>
          </w:tcPr>
          <w:p w14:paraId="63997991" w14:textId="7C6E1AC2" w:rsidR="007D6986" w:rsidRPr="007D6986" w:rsidRDefault="007D6986" w:rsidP="007D6986">
            <w:pPr>
              <w:spacing w:after="0" w:line="240" w:lineRule="auto"/>
              <w:rPr>
                <w:rFonts w:ascii="Calibri" w:eastAsia="Times New Roman" w:hAnsi="Calibri" w:cs="Times New Roman"/>
                <w:b/>
                <w:color w:val="000000"/>
                <w:lang w:val="en-US"/>
              </w:rPr>
            </w:pPr>
            <w:r>
              <w:rPr>
                <w:rFonts w:ascii="Calibri" w:eastAsia="Times New Roman" w:hAnsi="Calibri" w:cs="Times New Roman"/>
                <w:b/>
                <w:color w:val="000000"/>
                <w:lang w:val="en-US"/>
              </w:rPr>
              <w:t xml:space="preserve">Fraction </w:t>
            </w:r>
            <w:r w:rsidRPr="007D6986">
              <w:rPr>
                <w:rFonts w:ascii="Calibri" w:eastAsia="Times New Roman" w:hAnsi="Calibri" w:cs="Times New Roman"/>
                <w:b/>
                <w:color w:val="000000"/>
                <w:lang w:val="en-US"/>
              </w:rPr>
              <w:t>g/</w:t>
            </w:r>
            <w:proofErr w:type="spellStart"/>
            <w:r w:rsidRPr="007D6986">
              <w:rPr>
                <w:rFonts w:ascii="Calibri" w:eastAsia="Times New Roman" w:hAnsi="Calibri" w:cs="Times New Roman"/>
                <w:b/>
                <w:color w:val="000000"/>
                <w:lang w:val="en-US"/>
              </w:rPr>
              <w:t>gDW</w:t>
            </w:r>
            <w:proofErr w:type="spellEnd"/>
          </w:p>
        </w:tc>
        <w:tc>
          <w:tcPr>
            <w:tcW w:w="1701" w:type="dxa"/>
            <w:shd w:val="clear" w:color="auto" w:fill="auto"/>
            <w:noWrap/>
            <w:vAlign w:val="bottom"/>
            <w:hideMark/>
          </w:tcPr>
          <w:p w14:paraId="11D9ADC9" w14:textId="4A73BA97" w:rsidR="007D6986" w:rsidRPr="007D6986" w:rsidRDefault="007D6986" w:rsidP="007D6986">
            <w:pPr>
              <w:spacing w:after="0" w:line="240" w:lineRule="auto"/>
              <w:rPr>
                <w:rFonts w:ascii="Calibri" w:eastAsia="Times New Roman" w:hAnsi="Calibri" w:cs="Times New Roman"/>
                <w:b/>
                <w:color w:val="000000"/>
                <w:lang w:val="en-US"/>
              </w:rPr>
            </w:pPr>
            <w:r>
              <w:rPr>
                <w:rFonts w:ascii="Calibri" w:eastAsia="Times New Roman" w:hAnsi="Calibri" w:cs="Times New Roman"/>
                <w:b/>
                <w:color w:val="000000"/>
                <w:lang w:val="en-US"/>
              </w:rPr>
              <w:t xml:space="preserve">Fraction </w:t>
            </w:r>
            <w:r w:rsidRPr="007D6986">
              <w:rPr>
                <w:rFonts w:ascii="Calibri" w:eastAsia="Times New Roman" w:hAnsi="Calibri" w:cs="Times New Roman"/>
                <w:b/>
                <w:color w:val="000000"/>
                <w:lang w:val="en-US"/>
              </w:rPr>
              <w:t>g/</w:t>
            </w:r>
            <w:proofErr w:type="spellStart"/>
            <w:r w:rsidRPr="007D6986">
              <w:rPr>
                <w:rFonts w:ascii="Calibri" w:eastAsia="Times New Roman" w:hAnsi="Calibri" w:cs="Times New Roman"/>
                <w:b/>
                <w:color w:val="000000"/>
                <w:lang w:val="en-US"/>
              </w:rPr>
              <w:t>gDW</w:t>
            </w:r>
            <w:proofErr w:type="spellEnd"/>
            <w:r w:rsidRPr="007D6986">
              <w:rPr>
                <w:rFonts w:ascii="Calibri" w:eastAsia="Times New Roman" w:hAnsi="Calibri" w:cs="Times New Roman"/>
                <w:b/>
                <w:color w:val="000000"/>
                <w:lang w:val="en-US"/>
              </w:rPr>
              <w:t xml:space="preserve"> (only protein)</w:t>
            </w:r>
          </w:p>
        </w:tc>
        <w:tc>
          <w:tcPr>
            <w:tcW w:w="1134" w:type="dxa"/>
            <w:shd w:val="clear" w:color="auto" w:fill="auto"/>
            <w:noWrap/>
            <w:vAlign w:val="bottom"/>
            <w:hideMark/>
          </w:tcPr>
          <w:p w14:paraId="66ECA007" w14:textId="7B2D9F84" w:rsidR="007D6986" w:rsidRPr="007D6986" w:rsidRDefault="007D6986" w:rsidP="007D6986">
            <w:pPr>
              <w:spacing w:after="0" w:line="240" w:lineRule="auto"/>
              <w:rPr>
                <w:rFonts w:ascii="Calibri" w:eastAsia="Times New Roman" w:hAnsi="Calibri" w:cs="Times New Roman"/>
                <w:b/>
                <w:color w:val="000000"/>
                <w:lang w:val="en-US"/>
              </w:rPr>
            </w:pPr>
            <w:r w:rsidRPr="007D6986">
              <w:rPr>
                <w:rFonts w:ascii="Calibri" w:eastAsia="Times New Roman" w:hAnsi="Calibri" w:cs="Times New Roman"/>
                <w:b/>
                <w:color w:val="000000"/>
                <w:lang w:val="en-US"/>
              </w:rPr>
              <w:t>MW (g/mol)</w:t>
            </w:r>
          </w:p>
        </w:tc>
        <w:tc>
          <w:tcPr>
            <w:tcW w:w="1215" w:type="dxa"/>
            <w:shd w:val="clear" w:color="auto" w:fill="auto"/>
            <w:noWrap/>
            <w:vAlign w:val="bottom"/>
            <w:hideMark/>
          </w:tcPr>
          <w:p w14:paraId="1EC42C99" w14:textId="07393D2A" w:rsidR="007D6986" w:rsidRPr="007D6986" w:rsidRDefault="007D6986" w:rsidP="007D6986">
            <w:pPr>
              <w:spacing w:after="0" w:line="240" w:lineRule="auto"/>
              <w:rPr>
                <w:rFonts w:ascii="Calibri" w:eastAsia="Times New Roman" w:hAnsi="Calibri" w:cs="Times New Roman"/>
                <w:b/>
                <w:color w:val="000000"/>
                <w:lang w:val="en-US"/>
              </w:rPr>
            </w:pPr>
            <w:r>
              <w:rPr>
                <w:rFonts w:ascii="Calibri" w:eastAsia="Times New Roman" w:hAnsi="Calibri" w:cs="Times New Roman"/>
                <w:b/>
                <w:color w:val="000000"/>
                <w:lang w:val="en-US"/>
              </w:rPr>
              <w:t xml:space="preserve">Fraction </w:t>
            </w:r>
            <w:r w:rsidRPr="007D6986">
              <w:rPr>
                <w:rFonts w:ascii="Calibri" w:eastAsia="Times New Roman" w:hAnsi="Calibri" w:cs="Times New Roman"/>
                <w:b/>
                <w:color w:val="000000"/>
                <w:lang w:val="en-US"/>
              </w:rPr>
              <w:t>mole/</w:t>
            </w:r>
            <w:proofErr w:type="spellStart"/>
            <w:r w:rsidRPr="007D6986">
              <w:rPr>
                <w:rFonts w:ascii="Calibri" w:eastAsia="Times New Roman" w:hAnsi="Calibri" w:cs="Times New Roman"/>
                <w:b/>
                <w:color w:val="000000"/>
                <w:lang w:val="en-US"/>
              </w:rPr>
              <w:t>gDW</w:t>
            </w:r>
            <w:proofErr w:type="spellEnd"/>
          </w:p>
        </w:tc>
        <w:tc>
          <w:tcPr>
            <w:tcW w:w="1336" w:type="dxa"/>
            <w:shd w:val="clear" w:color="auto" w:fill="auto"/>
            <w:noWrap/>
            <w:vAlign w:val="bottom"/>
            <w:hideMark/>
          </w:tcPr>
          <w:p w14:paraId="66EFAD51" w14:textId="77777777" w:rsidR="007D6986" w:rsidRPr="007D6986" w:rsidRDefault="007D6986" w:rsidP="007D6986">
            <w:pPr>
              <w:spacing w:after="0" w:line="240" w:lineRule="auto"/>
              <w:rPr>
                <w:rFonts w:ascii="Calibri" w:eastAsia="Times New Roman" w:hAnsi="Calibri" w:cs="Times New Roman"/>
                <w:b/>
                <w:color w:val="000000"/>
                <w:lang w:val="en-US"/>
              </w:rPr>
            </w:pPr>
            <w:r w:rsidRPr="007D6986">
              <w:rPr>
                <w:rFonts w:ascii="Calibri" w:eastAsia="Times New Roman" w:hAnsi="Calibri" w:cs="Times New Roman"/>
                <w:b/>
                <w:color w:val="000000"/>
                <w:lang w:val="en-US"/>
              </w:rPr>
              <w:t>Molar ratio</w:t>
            </w:r>
          </w:p>
        </w:tc>
      </w:tr>
      <w:tr w:rsidR="007D6986" w:rsidRPr="007D6986" w14:paraId="77175DD0" w14:textId="77777777" w:rsidTr="007D6986">
        <w:trPr>
          <w:trHeight w:val="300"/>
        </w:trPr>
        <w:tc>
          <w:tcPr>
            <w:tcW w:w="1407" w:type="dxa"/>
            <w:shd w:val="clear" w:color="auto" w:fill="auto"/>
            <w:noWrap/>
            <w:vAlign w:val="bottom"/>
            <w:hideMark/>
          </w:tcPr>
          <w:p w14:paraId="01CBB2EE"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Ala</w:t>
            </w:r>
          </w:p>
        </w:tc>
        <w:tc>
          <w:tcPr>
            <w:tcW w:w="1320" w:type="dxa"/>
            <w:shd w:val="clear" w:color="auto" w:fill="auto"/>
            <w:noWrap/>
            <w:vAlign w:val="bottom"/>
            <w:hideMark/>
          </w:tcPr>
          <w:p w14:paraId="7E9C00E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10,4%</w:t>
            </w:r>
          </w:p>
        </w:tc>
        <w:tc>
          <w:tcPr>
            <w:tcW w:w="1101" w:type="dxa"/>
            <w:shd w:val="clear" w:color="auto" w:fill="auto"/>
            <w:noWrap/>
            <w:vAlign w:val="bottom"/>
            <w:hideMark/>
          </w:tcPr>
          <w:p w14:paraId="41DB200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5,2%</w:t>
            </w:r>
          </w:p>
        </w:tc>
        <w:tc>
          <w:tcPr>
            <w:tcW w:w="1701" w:type="dxa"/>
            <w:shd w:val="clear" w:color="auto" w:fill="auto"/>
            <w:noWrap/>
            <w:vAlign w:val="bottom"/>
            <w:hideMark/>
          </w:tcPr>
          <w:p w14:paraId="0E682DA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0,2%</w:t>
            </w:r>
          </w:p>
        </w:tc>
        <w:tc>
          <w:tcPr>
            <w:tcW w:w="1134" w:type="dxa"/>
            <w:shd w:val="clear" w:color="auto" w:fill="auto"/>
            <w:noWrap/>
            <w:vAlign w:val="bottom"/>
            <w:hideMark/>
          </w:tcPr>
          <w:p w14:paraId="4DACC86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89,1</w:t>
            </w:r>
          </w:p>
        </w:tc>
        <w:tc>
          <w:tcPr>
            <w:tcW w:w="1215" w:type="dxa"/>
            <w:shd w:val="clear" w:color="auto" w:fill="auto"/>
            <w:noWrap/>
            <w:vAlign w:val="bottom"/>
            <w:hideMark/>
          </w:tcPr>
          <w:p w14:paraId="7890AB4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2,25E-05</w:t>
            </w:r>
          </w:p>
        </w:tc>
        <w:tc>
          <w:tcPr>
            <w:tcW w:w="1336" w:type="dxa"/>
            <w:shd w:val="clear" w:color="auto" w:fill="auto"/>
            <w:noWrap/>
            <w:vAlign w:val="bottom"/>
            <w:hideMark/>
          </w:tcPr>
          <w:p w14:paraId="61077B70" w14:textId="390EF4EB"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0,7%</w:t>
            </w:r>
            <w:r w:rsidR="00B30E5E">
              <w:rPr>
                <w:rFonts w:ascii="Calibri" w:eastAsia="Times New Roman" w:hAnsi="Calibri" w:cs="Times New Roman"/>
                <w:color w:val="000000"/>
                <w:lang w:val="en-US"/>
              </w:rPr>
              <w:t>*</w:t>
            </w:r>
          </w:p>
        </w:tc>
      </w:tr>
      <w:tr w:rsidR="007D6986" w:rsidRPr="007D6986" w14:paraId="431AA97B" w14:textId="77777777" w:rsidTr="007D6986">
        <w:trPr>
          <w:trHeight w:val="300"/>
        </w:trPr>
        <w:tc>
          <w:tcPr>
            <w:tcW w:w="1407" w:type="dxa"/>
            <w:shd w:val="clear" w:color="auto" w:fill="auto"/>
            <w:noWrap/>
            <w:vAlign w:val="bottom"/>
            <w:hideMark/>
          </w:tcPr>
          <w:p w14:paraId="5676E481"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Arg</w:t>
            </w:r>
            <w:proofErr w:type="spellEnd"/>
          </w:p>
        </w:tc>
        <w:tc>
          <w:tcPr>
            <w:tcW w:w="1320" w:type="dxa"/>
            <w:shd w:val="clear" w:color="auto" w:fill="auto"/>
            <w:noWrap/>
            <w:vAlign w:val="bottom"/>
            <w:hideMark/>
          </w:tcPr>
          <w:p w14:paraId="2A29111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4,7%</w:t>
            </w:r>
          </w:p>
        </w:tc>
        <w:tc>
          <w:tcPr>
            <w:tcW w:w="1101" w:type="dxa"/>
            <w:shd w:val="clear" w:color="auto" w:fill="auto"/>
            <w:noWrap/>
            <w:vAlign w:val="bottom"/>
            <w:hideMark/>
          </w:tcPr>
          <w:p w14:paraId="04816C3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2,4%</w:t>
            </w:r>
          </w:p>
        </w:tc>
        <w:tc>
          <w:tcPr>
            <w:tcW w:w="1701" w:type="dxa"/>
            <w:shd w:val="clear" w:color="auto" w:fill="auto"/>
            <w:noWrap/>
            <w:vAlign w:val="bottom"/>
            <w:hideMark/>
          </w:tcPr>
          <w:p w14:paraId="7421FB3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2,4%</w:t>
            </w:r>
          </w:p>
        </w:tc>
        <w:tc>
          <w:tcPr>
            <w:tcW w:w="1134" w:type="dxa"/>
            <w:shd w:val="clear" w:color="auto" w:fill="auto"/>
            <w:noWrap/>
            <w:vAlign w:val="bottom"/>
            <w:hideMark/>
          </w:tcPr>
          <w:p w14:paraId="56AF100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174,2</w:t>
            </w:r>
          </w:p>
        </w:tc>
        <w:tc>
          <w:tcPr>
            <w:tcW w:w="1215" w:type="dxa"/>
            <w:shd w:val="clear" w:color="auto" w:fill="auto"/>
            <w:noWrap/>
            <w:vAlign w:val="bottom"/>
            <w:hideMark/>
          </w:tcPr>
          <w:p w14:paraId="15077680"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1,35E-04</w:t>
            </w:r>
          </w:p>
        </w:tc>
        <w:tc>
          <w:tcPr>
            <w:tcW w:w="1336" w:type="dxa"/>
            <w:shd w:val="clear" w:color="auto" w:fill="auto"/>
            <w:noWrap/>
            <w:vAlign w:val="bottom"/>
            <w:hideMark/>
          </w:tcPr>
          <w:p w14:paraId="5A59D3A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4,1%</w:t>
            </w:r>
          </w:p>
        </w:tc>
      </w:tr>
      <w:tr w:rsidR="007D6986" w:rsidRPr="007D6986" w14:paraId="1A60D5B0" w14:textId="77777777" w:rsidTr="007D6986">
        <w:trPr>
          <w:trHeight w:val="300"/>
        </w:trPr>
        <w:tc>
          <w:tcPr>
            <w:tcW w:w="1407" w:type="dxa"/>
            <w:shd w:val="clear" w:color="auto" w:fill="auto"/>
            <w:noWrap/>
            <w:vAlign w:val="bottom"/>
            <w:hideMark/>
          </w:tcPr>
          <w:p w14:paraId="70E4A368"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 xml:space="preserve">Asp + </w:t>
            </w:r>
            <w:proofErr w:type="spellStart"/>
            <w:r w:rsidRPr="007D6986">
              <w:rPr>
                <w:rFonts w:ascii="Calibri" w:eastAsia="Times New Roman" w:hAnsi="Calibri" w:cs="Times New Roman"/>
                <w:color w:val="000000"/>
                <w:lang w:val="en-US"/>
              </w:rPr>
              <w:t>Asn</w:t>
            </w:r>
            <w:proofErr w:type="spellEnd"/>
          </w:p>
        </w:tc>
        <w:tc>
          <w:tcPr>
            <w:tcW w:w="1320" w:type="dxa"/>
            <w:shd w:val="clear" w:color="auto" w:fill="auto"/>
            <w:noWrap/>
            <w:vAlign w:val="bottom"/>
            <w:hideMark/>
          </w:tcPr>
          <w:p w14:paraId="0E5DB0D0"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13,4%</w:t>
            </w:r>
          </w:p>
        </w:tc>
        <w:tc>
          <w:tcPr>
            <w:tcW w:w="1101" w:type="dxa"/>
            <w:shd w:val="clear" w:color="auto" w:fill="auto"/>
            <w:noWrap/>
            <w:vAlign w:val="bottom"/>
            <w:hideMark/>
          </w:tcPr>
          <w:p w14:paraId="3B54E1E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6,7%</w:t>
            </w:r>
          </w:p>
        </w:tc>
        <w:tc>
          <w:tcPr>
            <w:tcW w:w="1701" w:type="dxa"/>
            <w:shd w:val="clear" w:color="auto" w:fill="auto"/>
            <w:noWrap/>
            <w:vAlign w:val="bottom"/>
            <w:hideMark/>
          </w:tcPr>
          <w:p w14:paraId="426BE3B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6,7%</w:t>
            </w:r>
          </w:p>
        </w:tc>
        <w:tc>
          <w:tcPr>
            <w:tcW w:w="1134" w:type="dxa"/>
            <w:shd w:val="clear" w:color="auto" w:fill="auto"/>
            <w:noWrap/>
            <w:vAlign w:val="bottom"/>
            <w:hideMark/>
          </w:tcPr>
          <w:p w14:paraId="400BBA2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132,1</w:t>
            </w:r>
          </w:p>
        </w:tc>
        <w:tc>
          <w:tcPr>
            <w:tcW w:w="1215" w:type="dxa"/>
            <w:shd w:val="clear" w:color="auto" w:fill="auto"/>
            <w:noWrap/>
            <w:vAlign w:val="bottom"/>
            <w:hideMark/>
          </w:tcPr>
          <w:p w14:paraId="1CF209E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5,08E-04</w:t>
            </w:r>
          </w:p>
        </w:tc>
        <w:tc>
          <w:tcPr>
            <w:tcW w:w="1336" w:type="dxa"/>
            <w:shd w:val="clear" w:color="auto" w:fill="auto"/>
            <w:noWrap/>
            <w:vAlign w:val="bottom"/>
            <w:hideMark/>
          </w:tcPr>
          <w:p w14:paraId="0C725CDA" w14:textId="77777777" w:rsidR="007D6986" w:rsidRPr="007D6986" w:rsidRDefault="007D6986" w:rsidP="007D6986">
            <w:pPr>
              <w:spacing w:after="0" w:line="240" w:lineRule="auto"/>
              <w:jc w:val="right"/>
              <w:rPr>
                <w:rFonts w:ascii="Calibri" w:eastAsia="Times New Roman" w:hAnsi="Calibri" w:cs="Times New Roman"/>
                <w:color w:val="000000"/>
                <w:lang w:val="en-US"/>
              </w:rPr>
            </w:pPr>
          </w:p>
        </w:tc>
      </w:tr>
      <w:tr w:rsidR="007D6986" w:rsidRPr="007D6986" w14:paraId="7DA7EF5B" w14:textId="77777777" w:rsidTr="007D6986">
        <w:trPr>
          <w:trHeight w:val="300"/>
        </w:trPr>
        <w:tc>
          <w:tcPr>
            <w:tcW w:w="1407" w:type="dxa"/>
            <w:shd w:val="clear" w:color="auto" w:fill="auto"/>
            <w:noWrap/>
            <w:vAlign w:val="bottom"/>
            <w:hideMark/>
          </w:tcPr>
          <w:p w14:paraId="0FF28726"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r w:rsidRPr="007D6986">
              <w:rPr>
                <w:rFonts w:ascii="Calibri" w:eastAsia="Times New Roman" w:hAnsi="Calibri" w:cs="Times New Roman"/>
                <w:color w:val="000000"/>
                <w:lang w:val="en-US"/>
              </w:rPr>
              <w:t>Asp</w:t>
            </w:r>
          </w:p>
        </w:tc>
        <w:tc>
          <w:tcPr>
            <w:tcW w:w="1320" w:type="dxa"/>
            <w:shd w:val="clear" w:color="auto" w:fill="auto"/>
            <w:noWrap/>
            <w:vAlign w:val="bottom"/>
            <w:hideMark/>
          </w:tcPr>
          <w:p w14:paraId="663777D9"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
        </w:tc>
        <w:tc>
          <w:tcPr>
            <w:tcW w:w="1101" w:type="dxa"/>
            <w:shd w:val="clear" w:color="auto" w:fill="auto"/>
            <w:noWrap/>
            <w:vAlign w:val="bottom"/>
            <w:hideMark/>
          </w:tcPr>
          <w:p w14:paraId="78FD9EC3"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701" w:type="dxa"/>
            <w:shd w:val="clear" w:color="auto" w:fill="auto"/>
            <w:noWrap/>
            <w:vAlign w:val="bottom"/>
            <w:hideMark/>
          </w:tcPr>
          <w:p w14:paraId="34C0A45D"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134" w:type="dxa"/>
            <w:shd w:val="clear" w:color="auto" w:fill="auto"/>
            <w:noWrap/>
            <w:vAlign w:val="bottom"/>
            <w:hideMark/>
          </w:tcPr>
          <w:p w14:paraId="5D6E51A2"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215" w:type="dxa"/>
            <w:shd w:val="clear" w:color="auto" w:fill="auto"/>
            <w:noWrap/>
            <w:vAlign w:val="bottom"/>
            <w:hideMark/>
          </w:tcPr>
          <w:p w14:paraId="6C3EA97D"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336" w:type="dxa"/>
            <w:shd w:val="clear" w:color="auto" w:fill="auto"/>
            <w:noWrap/>
            <w:vAlign w:val="bottom"/>
            <w:hideMark/>
          </w:tcPr>
          <w:p w14:paraId="3AF900F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7,7%</w:t>
            </w:r>
          </w:p>
        </w:tc>
      </w:tr>
      <w:tr w:rsidR="007D6986" w:rsidRPr="007D6986" w14:paraId="32A94E83" w14:textId="77777777" w:rsidTr="007D6986">
        <w:trPr>
          <w:trHeight w:val="300"/>
        </w:trPr>
        <w:tc>
          <w:tcPr>
            <w:tcW w:w="1407" w:type="dxa"/>
            <w:shd w:val="clear" w:color="auto" w:fill="auto"/>
            <w:noWrap/>
            <w:vAlign w:val="bottom"/>
            <w:hideMark/>
          </w:tcPr>
          <w:p w14:paraId="2E966328"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Asn</w:t>
            </w:r>
            <w:proofErr w:type="spellEnd"/>
          </w:p>
        </w:tc>
        <w:tc>
          <w:tcPr>
            <w:tcW w:w="1320" w:type="dxa"/>
            <w:shd w:val="clear" w:color="auto" w:fill="auto"/>
            <w:noWrap/>
            <w:vAlign w:val="bottom"/>
            <w:hideMark/>
          </w:tcPr>
          <w:p w14:paraId="5A66BAFD"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
        </w:tc>
        <w:tc>
          <w:tcPr>
            <w:tcW w:w="1101" w:type="dxa"/>
            <w:shd w:val="clear" w:color="auto" w:fill="auto"/>
            <w:noWrap/>
            <w:vAlign w:val="bottom"/>
            <w:hideMark/>
          </w:tcPr>
          <w:p w14:paraId="3220645D"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701" w:type="dxa"/>
            <w:shd w:val="clear" w:color="auto" w:fill="auto"/>
            <w:noWrap/>
            <w:vAlign w:val="bottom"/>
            <w:hideMark/>
          </w:tcPr>
          <w:p w14:paraId="1FB6FF35"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134" w:type="dxa"/>
            <w:shd w:val="clear" w:color="auto" w:fill="auto"/>
            <w:noWrap/>
            <w:vAlign w:val="bottom"/>
            <w:hideMark/>
          </w:tcPr>
          <w:p w14:paraId="4A69494E"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215" w:type="dxa"/>
            <w:shd w:val="clear" w:color="auto" w:fill="auto"/>
            <w:noWrap/>
            <w:vAlign w:val="bottom"/>
            <w:hideMark/>
          </w:tcPr>
          <w:p w14:paraId="442DFFE4"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336" w:type="dxa"/>
            <w:shd w:val="clear" w:color="auto" w:fill="auto"/>
            <w:noWrap/>
            <w:vAlign w:val="bottom"/>
            <w:hideMark/>
          </w:tcPr>
          <w:p w14:paraId="33BE9D6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7,7%</w:t>
            </w:r>
          </w:p>
        </w:tc>
      </w:tr>
      <w:tr w:rsidR="007D6986" w:rsidRPr="007D6986" w14:paraId="7CBC4E30" w14:textId="77777777" w:rsidTr="007D6986">
        <w:trPr>
          <w:trHeight w:val="300"/>
        </w:trPr>
        <w:tc>
          <w:tcPr>
            <w:tcW w:w="1407" w:type="dxa"/>
            <w:shd w:val="clear" w:color="auto" w:fill="auto"/>
            <w:noWrap/>
            <w:vAlign w:val="bottom"/>
            <w:hideMark/>
          </w:tcPr>
          <w:p w14:paraId="2435C61E"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Cys</w:t>
            </w:r>
            <w:proofErr w:type="spellEnd"/>
          </w:p>
        </w:tc>
        <w:tc>
          <w:tcPr>
            <w:tcW w:w="1320" w:type="dxa"/>
            <w:shd w:val="clear" w:color="auto" w:fill="auto"/>
            <w:noWrap/>
            <w:vAlign w:val="bottom"/>
            <w:hideMark/>
          </w:tcPr>
          <w:p w14:paraId="3DFE2E29"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0,8%</w:t>
            </w:r>
          </w:p>
        </w:tc>
        <w:tc>
          <w:tcPr>
            <w:tcW w:w="1101" w:type="dxa"/>
            <w:shd w:val="clear" w:color="auto" w:fill="auto"/>
            <w:noWrap/>
            <w:vAlign w:val="bottom"/>
            <w:hideMark/>
          </w:tcPr>
          <w:p w14:paraId="5B3DBCC0"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0,4%</w:t>
            </w:r>
          </w:p>
        </w:tc>
        <w:tc>
          <w:tcPr>
            <w:tcW w:w="1701" w:type="dxa"/>
            <w:shd w:val="clear" w:color="auto" w:fill="auto"/>
            <w:noWrap/>
            <w:vAlign w:val="bottom"/>
            <w:hideMark/>
          </w:tcPr>
          <w:p w14:paraId="6A7EF421"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0,4%</w:t>
            </w:r>
          </w:p>
        </w:tc>
        <w:tc>
          <w:tcPr>
            <w:tcW w:w="1134" w:type="dxa"/>
            <w:shd w:val="clear" w:color="auto" w:fill="auto"/>
            <w:noWrap/>
            <w:vAlign w:val="bottom"/>
            <w:hideMark/>
          </w:tcPr>
          <w:p w14:paraId="236882C9"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121,2</w:t>
            </w:r>
          </w:p>
        </w:tc>
        <w:tc>
          <w:tcPr>
            <w:tcW w:w="1215" w:type="dxa"/>
            <w:shd w:val="clear" w:color="auto" w:fill="auto"/>
            <w:noWrap/>
            <w:vAlign w:val="bottom"/>
            <w:hideMark/>
          </w:tcPr>
          <w:p w14:paraId="7B6E28F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3,15E-05</w:t>
            </w:r>
          </w:p>
        </w:tc>
        <w:tc>
          <w:tcPr>
            <w:tcW w:w="1336" w:type="dxa"/>
            <w:shd w:val="clear" w:color="auto" w:fill="auto"/>
            <w:noWrap/>
            <w:vAlign w:val="bottom"/>
            <w:hideMark/>
          </w:tcPr>
          <w:p w14:paraId="4C2684A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1,0%</w:t>
            </w:r>
          </w:p>
        </w:tc>
      </w:tr>
      <w:tr w:rsidR="007D6986" w:rsidRPr="007D6986" w14:paraId="7E266229" w14:textId="77777777" w:rsidTr="007D6986">
        <w:trPr>
          <w:trHeight w:val="300"/>
        </w:trPr>
        <w:tc>
          <w:tcPr>
            <w:tcW w:w="1407" w:type="dxa"/>
            <w:shd w:val="clear" w:color="auto" w:fill="auto"/>
            <w:noWrap/>
            <w:vAlign w:val="bottom"/>
            <w:hideMark/>
          </w:tcPr>
          <w:p w14:paraId="5F107EDF"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 xml:space="preserve">Glu + </w:t>
            </w:r>
            <w:proofErr w:type="spellStart"/>
            <w:r w:rsidRPr="007D6986">
              <w:rPr>
                <w:rFonts w:ascii="Calibri" w:eastAsia="Times New Roman" w:hAnsi="Calibri" w:cs="Times New Roman"/>
                <w:color w:val="000000"/>
                <w:lang w:val="en-US"/>
              </w:rPr>
              <w:t>Gln</w:t>
            </w:r>
            <w:proofErr w:type="spellEnd"/>
          </w:p>
        </w:tc>
        <w:tc>
          <w:tcPr>
            <w:tcW w:w="1320" w:type="dxa"/>
            <w:shd w:val="clear" w:color="auto" w:fill="auto"/>
            <w:noWrap/>
            <w:vAlign w:val="bottom"/>
            <w:hideMark/>
          </w:tcPr>
          <w:p w14:paraId="16E01F89"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13,8%</w:t>
            </w:r>
          </w:p>
        </w:tc>
        <w:tc>
          <w:tcPr>
            <w:tcW w:w="1101" w:type="dxa"/>
            <w:shd w:val="clear" w:color="auto" w:fill="auto"/>
            <w:noWrap/>
            <w:vAlign w:val="bottom"/>
            <w:hideMark/>
          </w:tcPr>
          <w:p w14:paraId="2F267B2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6,9%</w:t>
            </w:r>
          </w:p>
        </w:tc>
        <w:tc>
          <w:tcPr>
            <w:tcW w:w="1701" w:type="dxa"/>
            <w:shd w:val="clear" w:color="auto" w:fill="auto"/>
            <w:noWrap/>
            <w:vAlign w:val="bottom"/>
            <w:hideMark/>
          </w:tcPr>
          <w:p w14:paraId="72502DD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4,8%</w:t>
            </w:r>
          </w:p>
        </w:tc>
        <w:tc>
          <w:tcPr>
            <w:tcW w:w="1134" w:type="dxa"/>
            <w:shd w:val="clear" w:color="auto" w:fill="auto"/>
            <w:noWrap/>
            <w:vAlign w:val="bottom"/>
            <w:hideMark/>
          </w:tcPr>
          <w:p w14:paraId="08FC39D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146,6</w:t>
            </w:r>
          </w:p>
        </w:tc>
        <w:tc>
          <w:tcPr>
            <w:tcW w:w="1215" w:type="dxa"/>
            <w:shd w:val="clear" w:color="auto" w:fill="auto"/>
            <w:noWrap/>
            <w:vAlign w:val="bottom"/>
            <w:hideMark/>
          </w:tcPr>
          <w:p w14:paraId="4F43128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3,27E-04</w:t>
            </w:r>
          </w:p>
        </w:tc>
        <w:tc>
          <w:tcPr>
            <w:tcW w:w="1336" w:type="dxa"/>
            <w:shd w:val="clear" w:color="auto" w:fill="auto"/>
            <w:noWrap/>
            <w:vAlign w:val="bottom"/>
            <w:hideMark/>
          </w:tcPr>
          <w:p w14:paraId="5B2A3B00" w14:textId="77777777" w:rsidR="007D6986" w:rsidRPr="007D6986" w:rsidRDefault="007D6986" w:rsidP="007D6986">
            <w:pPr>
              <w:spacing w:after="0" w:line="240" w:lineRule="auto"/>
              <w:jc w:val="right"/>
              <w:rPr>
                <w:rFonts w:ascii="Calibri" w:eastAsia="Times New Roman" w:hAnsi="Calibri" w:cs="Times New Roman"/>
                <w:color w:val="000000"/>
                <w:lang w:val="en-US"/>
              </w:rPr>
            </w:pPr>
          </w:p>
        </w:tc>
      </w:tr>
      <w:tr w:rsidR="007D6986" w:rsidRPr="007D6986" w14:paraId="17FD432E" w14:textId="77777777" w:rsidTr="007D6986">
        <w:trPr>
          <w:trHeight w:val="300"/>
        </w:trPr>
        <w:tc>
          <w:tcPr>
            <w:tcW w:w="1407" w:type="dxa"/>
            <w:shd w:val="clear" w:color="auto" w:fill="auto"/>
            <w:noWrap/>
            <w:vAlign w:val="bottom"/>
            <w:hideMark/>
          </w:tcPr>
          <w:p w14:paraId="2190C611"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r w:rsidRPr="007D6986">
              <w:rPr>
                <w:rFonts w:ascii="Calibri" w:eastAsia="Times New Roman" w:hAnsi="Calibri" w:cs="Times New Roman"/>
                <w:color w:val="000000"/>
                <w:lang w:val="en-US"/>
              </w:rPr>
              <w:lastRenderedPageBreak/>
              <w:t>Glu</w:t>
            </w:r>
          </w:p>
        </w:tc>
        <w:tc>
          <w:tcPr>
            <w:tcW w:w="1320" w:type="dxa"/>
            <w:shd w:val="clear" w:color="auto" w:fill="auto"/>
            <w:noWrap/>
            <w:vAlign w:val="bottom"/>
            <w:hideMark/>
          </w:tcPr>
          <w:p w14:paraId="4A0B47BA"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
        </w:tc>
        <w:tc>
          <w:tcPr>
            <w:tcW w:w="1101" w:type="dxa"/>
            <w:shd w:val="clear" w:color="auto" w:fill="auto"/>
            <w:noWrap/>
            <w:vAlign w:val="bottom"/>
            <w:hideMark/>
          </w:tcPr>
          <w:p w14:paraId="2DCB8456"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701" w:type="dxa"/>
            <w:shd w:val="clear" w:color="auto" w:fill="auto"/>
            <w:noWrap/>
            <w:vAlign w:val="bottom"/>
            <w:hideMark/>
          </w:tcPr>
          <w:p w14:paraId="73A0A1F1"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134" w:type="dxa"/>
            <w:shd w:val="clear" w:color="auto" w:fill="auto"/>
            <w:noWrap/>
            <w:vAlign w:val="bottom"/>
            <w:hideMark/>
          </w:tcPr>
          <w:p w14:paraId="74719E6C"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215" w:type="dxa"/>
            <w:shd w:val="clear" w:color="auto" w:fill="auto"/>
            <w:noWrap/>
            <w:vAlign w:val="bottom"/>
            <w:hideMark/>
          </w:tcPr>
          <w:p w14:paraId="45D78973"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336" w:type="dxa"/>
            <w:shd w:val="clear" w:color="auto" w:fill="auto"/>
            <w:noWrap/>
            <w:vAlign w:val="bottom"/>
            <w:hideMark/>
          </w:tcPr>
          <w:p w14:paraId="78C0D020" w14:textId="0DD6B104"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2,7%</w:t>
            </w:r>
            <w:r w:rsidR="00B30E5E">
              <w:rPr>
                <w:rFonts w:ascii="Calibri" w:eastAsia="Times New Roman" w:hAnsi="Calibri" w:cs="Times New Roman"/>
                <w:color w:val="000000"/>
                <w:lang w:val="en-US"/>
              </w:rPr>
              <w:t>*</w:t>
            </w:r>
          </w:p>
        </w:tc>
      </w:tr>
      <w:tr w:rsidR="007D6986" w:rsidRPr="007D6986" w14:paraId="1792D502" w14:textId="77777777" w:rsidTr="007D6986">
        <w:trPr>
          <w:trHeight w:val="300"/>
        </w:trPr>
        <w:tc>
          <w:tcPr>
            <w:tcW w:w="1407" w:type="dxa"/>
            <w:shd w:val="clear" w:color="auto" w:fill="auto"/>
            <w:noWrap/>
            <w:vAlign w:val="bottom"/>
            <w:hideMark/>
          </w:tcPr>
          <w:p w14:paraId="6A06F062"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Gln</w:t>
            </w:r>
            <w:proofErr w:type="spellEnd"/>
          </w:p>
        </w:tc>
        <w:tc>
          <w:tcPr>
            <w:tcW w:w="1320" w:type="dxa"/>
            <w:shd w:val="clear" w:color="auto" w:fill="auto"/>
            <w:noWrap/>
            <w:vAlign w:val="bottom"/>
            <w:hideMark/>
          </w:tcPr>
          <w:p w14:paraId="2740D40B" w14:textId="77777777" w:rsidR="007D6986" w:rsidRPr="007D6986" w:rsidRDefault="007D6986" w:rsidP="007D6986">
            <w:pPr>
              <w:spacing w:after="0" w:line="240" w:lineRule="auto"/>
              <w:ind w:firstLineChars="100" w:firstLine="220"/>
              <w:rPr>
                <w:rFonts w:ascii="Calibri" w:eastAsia="Times New Roman" w:hAnsi="Calibri" w:cs="Times New Roman"/>
                <w:color w:val="000000"/>
                <w:lang w:val="en-US"/>
              </w:rPr>
            </w:pPr>
          </w:p>
        </w:tc>
        <w:tc>
          <w:tcPr>
            <w:tcW w:w="1101" w:type="dxa"/>
            <w:shd w:val="clear" w:color="auto" w:fill="auto"/>
            <w:noWrap/>
            <w:vAlign w:val="bottom"/>
            <w:hideMark/>
          </w:tcPr>
          <w:p w14:paraId="7D1367CF"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701" w:type="dxa"/>
            <w:shd w:val="clear" w:color="auto" w:fill="auto"/>
            <w:noWrap/>
            <w:vAlign w:val="bottom"/>
            <w:hideMark/>
          </w:tcPr>
          <w:p w14:paraId="6C826AC8"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134" w:type="dxa"/>
            <w:shd w:val="clear" w:color="auto" w:fill="auto"/>
            <w:noWrap/>
            <w:vAlign w:val="bottom"/>
            <w:hideMark/>
          </w:tcPr>
          <w:p w14:paraId="62475ACA"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215" w:type="dxa"/>
            <w:shd w:val="clear" w:color="auto" w:fill="auto"/>
            <w:noWrap/>
            <w:vAlign w:val="bottom"/>
            <w:hideMark/>
          </w:tcPr>
          <w:p w14:paraId="6672D305" w14:textId="77777777" w:rsidR="007D6986" w:rsidRPr="007D6986" w:rsidRDefault="007D6986" w:rsidP="007D6986">
            <w:pPr>
              <w:spacing w:after="0" w:line="240" w:lineRule="auto"/>
              <w:rPr>
                <w:rFonts w:ascii="Times New Roman" w:eastAsia="Times New Roman" w:hAnsi="Times New Roman" w:cs="Times New Roman"/>
                <w:sz w:val="20"/>
                <w:szCs w:val="20"/>
                <w:lang w:val="en-US"/>
              </w:rPr>
            </w:pPr>
          </w:p>
        </w:tc>
        <w:tc>
          <w:tcPr>
            <w:tcW w:w="1336" w:type="dxa"/>
            <w:shd w:val="clear" w:color="auto" w:fill="auto"/>
            <w:noWrap/>
            <w:vAlign w:val="bottom"/>
            <w:hideMark/>
          </w:tcPr>
          <w:p w14:paraId="5E16464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7,1%</w:t>
            </w:r>
          </w:p>
        </w:tc>
      </w:tr>
      <w:tr w:rsidR="007D6986" w:rsidRPr="007D6986" w14:paraId="52FB71AD" w14:textId="77777777" w:rsidTr="007D6986">
        <w:trPr>
          <w:trHeight w:val="300"/>
        </w:trPr>
        <w:tc>
          <w:tcPr>
            <w:tcW w:w="1407" w:type="dxa"/>
            <w:shd w:val="clear" w:color="auto" w:fill="auto"/>
            <w:noWrap/>
            <w:vAlign w:val="bottom"/>
            <w:hideMark/>
          </w:tcPr>
          <w:p w14:paraId="77025E94"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Gly</w:t>
            </w:r>
            <w:proofErr w:type="spellEnd"/>
          </w:p>
        </w:tc>
        <w:tc>
          <w:tcPr>
            <w:tcW w:w="1320" w:type="dxa"/>
            <w:shd w:val="clear" w:color="auto" w:fill="auto"/>
            <w:noWrap/>
            <w:vAlign w:val="bottom"/>
            <w:hideMark/>
          </w:tcPr>
          <w:p w14:paraId="30F33E1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5,2%</w:t>
            </w:r>
          </w:p>
        </w:tc>
        <w:tc>
          <w:tcPr>
            <w:tcW w:w="1101" w:type="dxa"/>
            <w:shd w:val="clear" w:color="auto" w:fill="auto"/>
            <w:noWrap/>
            <w:vAlign w:val="bottom"/>
            <w:hideMark/>
          </w:tcPr>
          <w:p w14:paraId="7EA1C89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2,6%</w:t>
            </w:r>
          </w:p>
        </w:tc>
        <w:tc>
          <w:tcPr>
            <w:tcW w:w="1701" w:type="dxa"/>
            <w:shd w:val="clear" w:color="auto" w:fill="auto"/>
            <w:noWrap/>
            <w:vAlign w:val="bottom"/>
            <w:hideMark/>
          </w:tcPr>
          <w:p w14:paraId="1F99AA6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2,6%</w:t>
            </w:r>
          </w:p>
        </w:tc>
        <w:tc>
          <w:tcPr>
            <w:tcW w:w="1134" w:type="dxa"/>
            <w:shd w:val="clear" w:color="auto" w:fill="auto"/>
            <w:noWrap/>
            <w:vAlign w:val="bottom"/>
            <w:hideMark/>
          </w:tcPr>
          <w:p w14:paraId="652A8E4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75,1</w:t>
            </w:r>
          </w:p>
        </w:tc>
        <w:tc>
          <w:tcPr>
            <w:tcW w:w="1215" w:type="dxa"/>
            <w:shd w:val="clear" w:color="auto" w:fill="auto"/>
            <w:noWrap/>
            <w:vAlign w:val="bottom"/>
            <w:hideMark/>
          </w:tcPr>
          <w:p w14:paraId="2CA10C5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3,50E-04</w:t>
            </w:r>
          </w:p>
        </w:tc>
        <w:tc>
          <w:tcPr>
            <w:tcW w:w="1336" w:type="dxa"/>
            <w:shd w:val="clear" w:color="auto" w:fill="auto"/>
            <w:noWrap/>
            <w:vAlign w:val="bottom"/>
            <w:hideMark/>
          </w:tcPr>
          <w:p w14:paraId="39642C1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10,6%</w:t>
            </w:r>
          </w:p>
        </w:tc>
      </w:tr>
      <w:tr w:rsidR="007D6986" w:rsidRPr="007D6986" w14:paraId="2C1264B0" w14:textId="77777777" w:rsidTr="007D6986">
        <w:trPr>
          <w:trHeight w:val="300"/>
        </w:trPr>
        <w:tc>
          <w:tcPr>
            <w:tcW w:w="1407" w:type="dxa"/>
            <w:shd w:val="clear" w:color="auto" w:fill="auto"/>
            <w:noWrap/>
            <w:vAlign w:val="bottom"/>
            <w:hideMark/>
          </w:tcPr>
          <w:p w14:paraId="1344CA19"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His</w:t>
            </w:r>
          </w:p>
        </w:tc>
        <w:tc>
          <w:tcPr>
            <w:tcW w:w="1320" w:type="dxa"/>
            <w:shd w:val="clear" w:color="auto" w:fill="auto"/>
            <w:noWrap/>
            <w:vAlign w:val="bottom"/>
            <w:hideMark/>
          </w:tcPr>
          <w:p w14:paraId="5109E92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2,1%</w:t>
            </w:r>
          </w:p>
        </w:tc>
        <w:tc>
          <w:tcPr>
            <w:tcW w:w="1101" w:type="dxa"/>
            <w:shd w:val="clear" w:color="auto" w:fill="auto"/>
            <w:noWrap/>
            <w:vAlign w:val="bottom"/>
            <w:hideMark/>
          </w:tcPr>
          <w:p w14:paraId="0442C00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1,1%</w:t>
            </w:r>
          </w:p>
        </w:tc>
        <w:tc>
          <w:tcPr>
            <w:tcW w:w="1701" w:type="dxa"/>
            <w:shd w:val="clear" w:color="auto" w:fill="auto"/>
            <w:noWrap/>
            <w:vAlign w:val="bottom"/>
            <w:hideMark/>
          </w:tcPr>
          <w:p w14:paraId="0FCEC41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1,1%</w:t>
            </w:r>
          </w:p>
        </w:tc>
        <w:tc>
          <w:tcPr>
            <w:tcW w:w="1134" w:type="dxa"/>
            <w:shd w:val="clear" w:color="auto" w:fill="auto"/>
            <w:noWrap/>
            <w:vAlign w:val="bottom"/>
            <w:hideMark/>
          </w:tcPr>
          <w:p w14:paraId="0A454228"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155,2</w:t>
            </w:r>
          </w:p>
        </w:tc>
        <w:tc>
          <w:tcPr>
            <w:tcW w:w="1215" w:type="dxa"/>
            <w:shd w:val="clear" w:color="auto" w:fill="auto"/>
            <w:noWrap/>
            <w:vAlign w:val="bottom"/>
            <w:hideMark/>
          </w:tcPr>
          <w:p w14:paraId="1E07BAE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6,93E-05</w:t>
            </w:r>
          </w:p>
        </w:tc>
        <w:tc>
          <w:tcPr>
            <w:tcW w:w="1336" w:type="dxa"/>
            <w:shd w:val="clear" w:color="auto" w:fill="auto"/>
            <w:noWrap/>
            <w:vAlign w:val="bottom"/>
            <w:hideMark/>
          </w:tcPr>
          <w:p w14:paraId="299AA0A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2,1%</w:t>
            </w:r>
          </w:p>
        </w:tc>
      </w:tr>
      <w:tr w:rsidR="007D6986" w:rsidRPr="007D6986" w14:paraId="6C6F57C4" w14:textId="77777777" w:rsidTr="007D6986">
        <w:trPr>
          <w:trHeight w:val="300"/>
        </w:trPr>
        <w:tc>
          <w:tcPr>
            <w:tcW w:w="1407" w:type="dxa"/>
            <w:shd w:val="clear" w:color="auto" w:fill="auto"/>
            <w:noWrap/>
            <w:vAlign w:val="bottom"/>
            <w:hideMark/>
          </w:tcPr>
          <w:p w14:paraId="58AD7FFD"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Ile</w:t>
            </w:r>
          </w:p>
        </w:tc>
        <w:tc>
          <w:tcPr>
            <w:tcW w:w="1320" w:type="dxa"/>
            <w:shd w:val="clear" w:color="auto" w:fill="auto"/>
            <w:noWrap/>
            <w:vAlign w:val="bottom"/>
            <w:hideMark/>
          </w:tcPr>
          <w:p w14:paraId="1313F4C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4,9%</w:t>
            </w:r>
          </w:p>
        </w:tc>
        <w:tc>
          <w:tcPr>
            <w:tcW w:w="1101" w:type="dxa"/>
            <w:shd w:val="clear" w:color="auto" w:fill="auto"/>
            <w:noWrap/>
            <w:vAlign w:val="bottom"/>
            <w:hideMark/>
          </w:tcPr>
          <w:p w14:paraId="7FA1AD3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2,5%</w:t>
            </w:r>
          </w:p>
        </w:tc>
        <w:tc>
          <w:tcPr>
            <w:tcW w:w="1701" w:type="dxa"/>
            <w:shd w:val="clear" w:color="auto" w:fill="auto"/>
            <w:noWrap/>
            <w:vAlign w:val="bottom"/>
            <w:hideMark/>
          </w:tcPr>
          <w:p w14:paraId="787FD32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2,5%</w:t>
            </w:r>
          </w:p>
        </w:tc>
        <w:tc>
          <w:tcPr>
            <w:tcW w:w="1134" w:type="dxa"/>
            <w:shd w:val="clear" w:color="auto" w:fill="auto"/>
            <w:noWrap/>
            <w:vAlign w:val="bottom"/>
            <w:hideMark/>
          </w:tcPr>
          <w:p w14:paraId="5AD5534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131,1</w:t>
            </w:r>
          </w:p>
        </w:tc>
        <w:tc>
          <w:tcPr>
            <w:tcW w:w="1215" w:type="dxa"/>
            <w:shd w:val="clear" w:color="auto" w:fill="auto"/>
            <w:noWrap/>
            <w:vAlign w:val="bottom"/>
            <w:hideMark/>
          </w:tcPr>
          <w:p w14:paraId="44E8438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1,89E-04</w:t>
            </w:r>
          </w:p>
        </w:tc>
        <w:tc>
          <w:tcPr>
            <w:tcW w:w="1336" w:type="dxa"/>
            <w:shd w:val="clear" w:color="auto" w:fill="auto"/>
            <w:noWrap/>
            <w:vAlign w:val="bottom"/>
            <w:hideMark/>
          </w:tcPr>
          <w:p w14:paraId="1D73542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5,7%</w:t>
            </w:r>
          </w:p>
        </w:tc>
      </w:tr>
      <w:tr w:rsidR="007D6986" w:rsidRPr="007D6986" w14:paraId="0E91FF53" w14:textId="77777777" w:rsidTr="007D6986">
        <w:trPr>
          <w:trHeight w:val="300"/>
        </w:trPr>
        <w:tc>
          <w:tcPr>
            <w:tcW w:w="1407" w:type="dxa"/>
            <w:shd w:val="clear" w:color="auto" w:fill="auto"/>
            <w:noWrap/>
            <w:vAlign w:val="bottom"/>
            <w:hideMark/>
          </w:tcPr>
          <w:p w14:paraId="0686FBFC"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Leu</w:t>
            </w:r>
          </w:p>
        </w:tc>
        <w:tc>
          <w:tcPr>
            <w:tcW w:w="1320" w:type="dxa"/>
            <w:shd w:val="clear" w:color="auto" w:fill="auto"/>
            <w:noWrap/>
            <w:vAlign w:val="bottom"/>
            <w:hideMark/>
          </w:tcPr>
          <w:p w14:paraId="037D96B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7,3%</w:t>
            </w:r>
          </w:p>
        </w:tc>
        <w:tc>
          <w:tcPr>
            <w:tcW w:w="1101" w:type="dxa"/>
            <w:shd w:val="clear" w:color="auto" w:fill="auto"/>
            <w:noWrap/>
            <w:vAlign w:val="bottom"/>
            <w:hideMark/>
          </w:tcPr>
          <w:p w14:paraId="040CA03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3,7%</w:t>
            </w:r>
          </w:p>
        </w:tc>
        <w:tc>
          <w:tcPr>
            <w:tcW w:w="1701" w:type="dxa"/>
            <w:shd w:val="clear" w:color="auto" w:fill="auto"/>
            <w:noWrap/>
            <w:vAlign w:val="bottom"/>
            <w:hideMark/>
          </w:tcPr>
          <w:p w14:paraId="736BF3E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3,7%</w:t>
            </w:r>
          </w:p>
        </w:tc>
        <w:tc>
          <w:tcPr>
            <w:tcW w:w="1134" w:type="dxa"/>
            <w:shd w:val="clear" w:color="auto" w:fill="auto"/>
            <w:noWrap/>
            <w:vAlign w:val="bottom"/>
            <w:hideMark/>
          </w:tcPr>
          <w:p w14:paraId="0F78405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131,1</w:t>
            </w:r>
          </w:p>
        </w:tc>
        <w:tc>
          <w:tcPr>
            <w:tcW w:w="1215" w:type="dxa"/>
            <w:shd w:val="clear" w:color="auto" w:fill="auto"/>
            <w:noWrap/>
            <w:vAlign w:val="bottom"/>
            <w:hideMark/>
          </w:tcPr>
          <w:p w14:paraId="1349A45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2,81E-04</w:t>
            </w:r>
          </w:p>
        </w:tc>
        <w:tc>
          <w:tcPr>
            <w:tcW w:w="1336" w:type="dxa"/>
            <w:shd w:val="clear" w:color="auto" w:fill="auto"/>
            <w:noWrap/>
            <w:vAlign w:val="bottom"/>
            <w:hideMark/>
          </w:tcPr>
          <w:p w14:paraId="0B31BFA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8,5%</w:t>
            </w:r>
          </w:p>
        </w:tc>
      </w:tr>
      <w:tr w:rsidR="007D6986" w:rsidRPr="007D6986" w14:paraId="1CF60D29" w14:textId="77777777" w:rsidTr="007D6986">
        <w:trPr>
          <w:trHeight w:val="300"/>
        </w:trPr>
        <w:tc>
          <w:tcPr>
            <w:tcW w:w="1407" w:type="dxa"/>
            <w:shd w:val="clear" w:color="auto" w:fill="auto"/>
            <w:noWrap/>
            <w:vAlign w:val="bottom"/>
            <w:hideMark/>
          </w:tcPr>
          <w:p w14:paraId="11FCD997"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Lys</w:t>
            </w:r>
          </w:p>
        </w:tc>
        <w:tc>
          <w:tcPr>
            <w:tcW w:w="1320" w:type="dxa"/>
            <w:shd w:val="clear" w:color="auto" w:fill="auto"/>
            <w:noWrap/>
            <w:vAlign w:val="bottom"/>
            <w:hideMark/>
          </w:tcPr>
          <w:p w14:paraId="2C341F71"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9,4%</w:t>
            </w:r>
          </w:p>
        </w:tc>
        <w:tc>
          <w:tcPr>
            <w:tcW w:w="1101" w:type="dxa"/>
            <w:shd w:val="clear" w:color="auto" w:fill="auto"/>
            <w:noWrap/>
            <w:vAlign w:val="bottom"/>
            <w:hideMark/>
          </w:tcPr>
          <w:p w14:paraId="66A7049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4,7%</w:t>
            </w:r>
          </w:p>
        </w:tc>
        <w:tc>
          <w:tcPr>
            <w:tcW w:w="1701" w:type="dxa"/>
            <w:shd w:val="clear" w:color="auto" w:fill="auto"/>
            <w:noWrap/>
            <w:vAlign w:val="bottom"/>
            <w:hideMark/>
          </w:tcPr>
          <w:p w14:paraId="3069280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4,7%</w:t>
            </w:r>
          </w:p>
        </w:tc>
        <w:tc>
          <w:tcPr>
            <w:tcW w:w="1134" w:type="dxa"/>
            <w:shd w:val="clear" w:color="auto" w:fill="auto"/>
            <w:noWrap/>
            <w:vAlign w:val="bottom"/>
            <w:hideMark/>
          </w:tcPr>
          <w:p w14:paraId="4D32177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146,2</w:t>
            </w:r>
          </w:p>
        </w:tc>
        <w:tc>
          <w:tcPr>
            <w:tcW w:w="1215" w:type="dxa"/>
            <w:shd w:val="clear" w:color="auto" w:fill="auto"/>
            <w:noWrap/>
            <w:vAlign w:val="bottom"/>
            <w:hideMark/>
          </w:tcPr>
          <w:p w14:paraId="15BC336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3,23E-04</w:t>
            </w:r>
          </w:p>
        </w:tc>
        <w:tc>
          <w:tcPr>
            <w:tcW w:w="1336" w:type="dxa"/>
            <w:shd w:val="clear" w:color="auto" w:fill="auto"/>
            <w:noWrap/>
            <w:vAlign w:val="bottom"/>
            <w:hideMark/>
          </w:tcPr>
          <w:p w14:paraId="700C250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9,8%</w:t>
            </w:r>
          </w:p>
        </w:tc>
      </w:tr>
      <w:tr w:rsidR="007D6986" w:rsidRPr="007D6986" w14:paraId="108CC797" w14:textId="77777777" w:rsidTr="007D6986">
        <w:trPr>
          <w:trHeight w:val="300"/>
        </w:trPr>
        <w:tc>
          <w:tcPr>
            <w:tcW w:w="1407" w:type="dxa"/>
            <w:shd w:val="clear" w:color="auto" w:fill="auto"/>
            <w:noWrap/>
            <w:vAlign w:val="bottom"/>
            <w:hideMark/>
          </w:tcPr>
          <w:p w14:paraId="2663A29B"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Met</w:t>
            </w:r>
          </w:p>
        </w:tc>
        <w:tc>
          <w:tcPr>
            <w:tcW w:w="1320" w:type="dxa"/>
            <w:shd w:val="clear" w:color="auto" w:fill="auto"/>
            <w:noWrap/>
            <w:vAlign w:val="bottom"/>
            <w:hideMark/>
          </w:tcPr>
          <w:p w14:paraId="5761DD70"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2,7%</w:t>
            </w:r>
          </w:p>
        </w:tc>
        <w:tc>
          <w:tcPr>
            <w:tcW w:w="1101" w:type="dxa"/>
            <w:shd w:val="clear" w:color="auto" w:fill="auto"/>
            <w:noWrap/>
            <w:vAlign w:val="bottom"/>
            <w:hideMark/>
          </w:tcPr>
          <w:p w14:paraId="6078F651"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w:t>
            </w:r>
          </w:p>
        </w:tc>
        <w:tc>
          <w:tcPr>
            <w:tcW w:w="1701" w:type="dxa"/>
            <w:shd w:val="clear" w:color="auto" w:fill="auto"/>
            <w:noWrap/>
            <w:vAlign w:val="bottom"/>
            <w:hideMark/>
          </w:tcPr>
          <w:p w14:paraId="1B8E5918"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w:t>
            </w:r>
          </w:p>
        </w:tc>
        <w:tc>
          <w:tcPr>
            <w:tcW w:w="1134" w:type="dxa"/>
            <w:shd w:val="clear" w:color="auto" w:fill="auto"/>
            <w:noWrap/>
            <w:vAlign w:val="bottom"/>
            <w:hideMark/>
          </w:tcPr>
          <w:p w14:paraId="3EFCB520"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149,2</w:t>
            </w:r>
          </w:p>
        </w:tc>
        <w:tc>
          <w:tcPr>
            <w:tcW w:w="1215" w:type="dxa"/>
            <w:shd w:val="clear" w:color="auto" w:fill="auto"/>
            <w:noWrap/>
            <w:vAlign w:val="bottom"/>
            <w:hideMark/>
          </w:tcPr>
          <w:p w14:paraId="7FBD6A6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8,93E-05</w:t>
            </w:r>
          </w:p>
        </w:tc>
        <w:tc>
          <w:tcPr>
            <w:tcW w:w="1336" w:type="dxa"/>
            <w:shd w:val="clear" w:color="auto" w:fill="auto"/>
            <w:noWrap/>
            <w:vAlign w:val="bottom"/>
            <w:hideMark/>
          </w:tcPr>
          <w:p w14:paraId="20A90E0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2,7%</w:t>
            </w:r>
          </w:p>
        </w:tc>
      </w:tr>
      <w:tr w:rsidR="007D6986" w:rsidRPr="007D6986" w14:paraId="273B99C5" w14:textId="77777777" w:rsidTr="007D6986">
        <w:trPr>
          <w:trHeight w:val="300"/>
        </w:trPr>
        <w:tc>
          <w:tcPr>
            <w:tcW w:w="1407" w:type="dxa"/>
            <w:shd w:val="clear" w:color="auto" w:fill="auto"/>
            <w:noWrap/>
            <w:vAlign w:val="bottom"/>
            <w:hideMark/>
          </w:tcPr>
          <w:p w14:paraId="03D1AE8C"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Phe</w:t>
            </w:r>
            <w:proofErr w:type="spellEnd"/>
          </w:p>
        </w:tc>
        <w:tc>
          <w:tcPr>
            <w:tcW w:w="1320" w:type="dxa"/>
            <w:shd w:val="clear" w:color="auto" w:fill="auto"/>
            <w:noWrap/>
            <w:vAlign w:val="bottom"/>
            <w:hideMark/>
          </w:tcPr>
          <w:p w14:paraId="1E21D74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3,5%</w:t>
            </w:r>
          </w:p>
        </w:tc>
        <w:tc>
          <w:tcPr>
            <w:tcW w:w="1101" w:type="dxa"/>
            <w:shd w:val="clear" w:color="auto" w:fill="auto"/>
            <w:noWrap/>
            <w:vAlign w:val="bottom"/>
            <w:hideMark/>
          </w:tcPr>
          <w:p w14:paraId="134D5F6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1,8%</w:t>
            </w:r>
          </w:p>
        </w:tc>
        <w:tc>
          <w:tcPr>
            <w:tcW w:w="1701" w:type="dxa"/>
            <w:shd w:val="clear" w:color="auto" w:fill="auto"/>
            <w:noWrap/>
            <w:vAlign w:val="bottom"/>
            <w:hideMark/>
          </w:tcPr>
          <w:p w14:paraId="1A52596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1,8%</w:t>
            </w:r>
          </w:p>
        </w:tc>
        <w:tc>
          <w:tcPr>
            <w:tcW w:w="1134" w:type="dxa"/>
            <w:shd w:val="clear" w:color="auto" w:fill="auto"/>
            <w:noWrap/>
            <w:vAlign w:val="bottom"/>
            <w:hideMark/>
          </w:tcPr>
          <w:p w14:paraId="643D5DF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165,2</w:t>
            </w:r>
          </w:p>
        </w:tc>
        <w:tc>
          <w:tcPr>
            <w:tcW w:w="1215" w:type="dxa"/>
            <w:shd w:val="clear" w:color="auto" w:fill="auto"/>
            <w:noWrap/>
            <w:vAlign w:val="bottom"/>
            <w:hideMark/>
          </w:tcPr>
          <w:p w14:paraId="214BF0B5"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1,08E-04</w:t>
            </w:r>
          </w:p>
        </w:tc>
        <w:tc>
          <w:tcPr>
            <w:tcW w:w="1336" w:type="dxa"/>
            <w:shd w:val="clear" w:color="auto" w:fill="auto"/>
            <w:noWrap/>
            <w:vAlign w:val="bottom"/>
            <w:hideMark/>
          </w:tcPr>
          <w:p w14:paraId="795E06E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3,3%</w:t>
            </w:r>
          </w:p>
        </w:tc>
      </w:tr>
      <w:tr w:rsidR="007D6986" w:rsidRPr="007D6986" w14:paraId="1DDBC0B4" w14:textId="77777777" w:rsidTr="007D6986">
        <w:trPr>
          <w:trHeight w:val="300"/>
        </w:trPr>
        <w:tc>
          <w:tcPr>
            <w:tcW w:w="1407" w:type="dxa"/>
            <w:shd w:val="clear" w:color="auto" w:fill="auto"/>
            <w:noWrap/>
            <w:vAlign w:val="bottom"/>
            <w:hideMark/>
          </w:tcPr>
          <w:p w14:paraId="3486E9EB"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Pro</w:t>
            </w:r>
          </w:p>
        </w:tc>
        <w:tc>
          <w:tcPr>
            <w:tcW w:w="1320" w:type="dxa"/>
            <w:shd w:val="clear" w:color="auto" w:fill="auto"/>
            <w:noWrap/>
            <w:vAlign w:val="bottom"/>
            <w:hideMark/>
          </w:tcPr>
          <w:p w14:paraId="36C89D8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3,0%</w:t>
            </w:r>
          </w:p>
        </w:tc>
        <w:tc>
          <w:tcPr>
            <w:tcW w:w="1101" w:type="dxa"/>
            <w:shd w:val="clear" w:color="auto" w:fill="auto"/>
            <w:noWrap/>
            <w:vAlign w:val="bottom"/>
            <w:hideMark/>
          </w:tcPr>
          <w:p w14:paraId="495151D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1,5%</w:t>
            </w:r>
          </w:p>
        </w:tc>
        <w:tc>
          <w:tcPr>
            <w:tcW w:w="1701" w:type="dxa"/>
            <w:shd w:val="clear" w:color="auto" w:fill="auto"/>
            <w:noWrap/>
            <w:vAlign w:val="bottom"/>
            <w:hideMark/>
          </w:tcPr>
          <w:p w14:paraId="4FBD653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1,5%</w:t>
            </w:r>
          </w:p>
        </w:tc>
        <w:tc>
          <w:tcPr>
            <w:tcW w:w="1134" w:type="dxa"/>
            <w:shd w:val="clear" w:color="auto" w:fill="auto"/>
            <w:noWrap/>
            <w:vAlign w:val="bottom"/>
            <w:hideMark/>
          </w:tcPr>
          <w:p w14:paraId="2FE1E7F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115,1</w:t>
            </w:r>
          </w:p>
        </w:tc>
        <w:tc>
          <w:tcPr>
            <w:tcW w:w="1215" w:type="dxa"/>
            <w:shd w:val="clear" w:color="auto" w:fill="auto"/>
            <w:noWrap/>
            <w:vAlign w:val="bottom"/>
            <w:hideMark/>
          </w:tcPr>
          <w:p w14:paraId="088C026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1,33E-04</w:t>
            </w:r>
          </w:p>
        </w:tc>
        <w:tc>
          <w:tcPr>
            <w:tcW w:w="1336" w:type="dxa"/>
            <w:shd w:val="clear" w:color="auto" w:fill="auto"/>
            <w:noWrap/>
            <w:vAlign w:val="bottom"/>
            <w:hideMark/>
          </w:tcPr>
          <w:p w14:paraId="7E4450C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4,0%</w:t>
            </w:r>
          </w:p>
        </w:tc>
      </w:tr>
      <w:tr w:rsidR="007D6986" w:rsidRPr="007D6986" w14:paraId="6FED8779" w14:textId="77777777" w:rsidTr="007D6986">
        <w:trPr>
          <w:trHeight w:val="300"/>
        </w:trPr>
        <w:tc>
          <w:tcPr>
            <w:tcW w:w="1407" w:type="dxa"/>
            <w:shd w:val="clear" w:color="auto" w:fill="auto"/>
            <w:noWrap/>
            <w:vAlign w:val="bottom"/>
            <w:hideMark/>
          </w:tcPr>
          <w:p w14:paraId="127C8E23"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Ser</w:t>
            </w:r>
          </w:p>
        </w:tc>
        <w:tc>
          <w:tcPr>
            <w:tcW w:w="1320" w:type="dxa"/>
            <w:shd w:val="clear" w:color="auto" w:fill="auto"/>
            <w:noWrap/>
            <w:vAlign w:val="bottom"/>
            <w:hideMark/>
          </w:tcPr>
          <w:p w14:paraId="4F6598E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3,8%</w:t>
            </w:r>
          </w:p>
        </w:tc>
        <w:tc>
          <w:tcPr>
            <w:tcW w:w="1101" w:type="dxa"/>
            <w:shd w:val="clear" w:color="auto" w:fill="auto"/>
            <w:noWrap/>
            <w:vAlign w:val="bottom"/>
            <w:hideMark/>
          </w:tcPr>
          <w:p w14:paraId="07A794A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1,9%</w:t>
            </w:r>
          </w:p>
        </w:tc>
        <w:tc>
          <w:tcPr>
            <w:tcW w:w="1701" w:type="dxa"/>
            <w:shd w:val="clear" w:color="auto" w:fill="auto"/>
            <w:noWrap/>
            <w:vAlign w:val="bottom"/>
            <w:hideMark/>
          </w:tcPr>
          <w:p w14:paraId="42FDE5F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1,9%</w:t>
            </w:r>
          </w:p>
        </w:tc>
        <w:tc>
          <w:tcPr>
            <w:tcW w:w="1134" w:type="dxa"/>
            <w:shd w:val="clear" w:color="auto" w:fill="auto"/>
            <w:noWrap/>
            <w:vAlign w:val="bottom"/>
            <w:hideMark/>
          </w:tcPr>
          <w:p w14:paraId="216C09C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105,1</w:t>
            </w:r>
          </w:p>
        </w:tc>
        <w:tc>
          <w:tcPr>
            <w:tcW w:w="1215" w:type="dxa"/>
            <w:shd w:val="clear" w:color="auto" w:fill="auto"/>
            <w:noWrap/>
            <w:vAlign w:val="bottom"/>
            <w:hideMark/>
          </w:tcPr>
          <w:p w14:paraId="48BFD0F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1,80E-04</w:t>
            </w:r>
          </w:p>
        </w:tc>
        <w:tc>
          <w:tcPr>
            <w:tcW w:w="1336" w:type="dxa"/>
            <w:shd w:val="clear" w:color="auto" w:fill="auto"/>
            <w:noWrap/>
            <w:vAlign w:val="bottom"/>
            <w:hideMark/>
          </w:tcPr>
          <w:p w14:paraId="01C14E8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5,4%</w:t>
            </w:r>
          </w:p>
        </w:tc>
      </w:tr>
      <w:tr w:rsidR="007D6986" w:rsidRPr="007D6986" w14:paraId="4846BF91" w14:textId="77777777" w:rsidTr="007D6986">
        <w:trPr>
          <w:trHeight w:val="300"/>
        </w:trPr>
        <w:tc>
          <w:tcPr>
            <w:tcW w:w="1407" w:type="dxa"/>
            <w:shd w:val="clear" w:color="auto" w:fill="auto"/>
            <w:noWrap/>
            <w:vAlign w:val="bottom"/>
            <w:hideMark/>
          </w:tcPr>
          <w:p w14:paraId="06731A49"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Thr</w:t>
            </w:r>
            <w:proofErr w:type="spellEnd"/>
          </w:p>
        </w:tc>
        <w:tc>
          <w:tcPr>
            <w:tcW w:w="1320" w:type="dxa"/>
            <w:shd w:val="clear" w:color="auto" w:fill="auto"/>
            <w:noWrap/>
            <w:vAlign w:val="bottom"/>
            <w:hideMark/>
          </w:tcPr>
          <w:p w14:paraId="08C4072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5,1%</w:t>
            </w:r>
          </w:p>
        </w:tc>
        <w:tc>
          <w:tcPr>
            <w:tcW w:w="1101" w:type="dxa"/>
            <w:shd w:val="clear" w:color="auto" w:fill="auto"/>
            <w:noWrap/>
            <w:vAlign w:val="bottom"/>
            <w:hideMark/>
          </w:tcPr>
          <w:p w14:paraId="635382E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2,5%</w:t>
            </w:r>
          </w:p>
        </w:tc>
        <w:tc>
          <w:tcPr>
            <w:tcW w:w="1701" w:type="dxa"/>
            <w:shd w:val="clear" w:color="auto" w:fill="auto"/>
            <w:noWrap/>
            <w:vAlign w:val="bottom"/>
            <w:hideMark/>
          </w:tcPr>
          <w:p w14:paraId="15D22EB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2,5%</w:t>
            </w:r>
          </w:p>
        </w:tc>
        <w:tc>
          <w:tcPr>
            <w:tcW w:w="1134" w:type="dxa"/>
            <w:shd w:val="clear" w:color="auto" w:fill="auto"/>
            <w:noWrap/>
            <w:vAlign w:val="bottom"/>
            <w:hideMark/>
          </w:tcPr>
          <w:p w14:paraId="3B57D96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119,1</w:t>
            </w:r>
          </w:p>
        </w:tc>
        <w:tc>
          <w:tcPr>
            <w:tcW w:w="1215" w:type="dxa"/>
            <w:shd w:val="clear" w:color="auto" w:fill="auto"/>
            <w:noWrap/>
            <w:vAlign w:val="bottom"/>
            <w:hideMark/>
          </w:tcPr>
          <w:p w14:paraId="343D49D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2,13E-04</w:t>
            </w:r>
          </w:p>
        </w:tc>
        <w:tc>
          <w:tcPr>
            <w:tcW w:w="1336" w:type="dxa"/>
            <w:shd w:val="clear" w:color="auto" w:fill="auto"/>
            <w:noWrap/>
            <w:vAlign w:val="bottom"/>
            <w:hideMark/>
          </w:tcPr>
          <w:p w14:paraId="2E45D69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6,4%</w:t>
            </w:r>
          </w:p>
        </w:tc>
      </w:tr>
      <w:tr w:rsidR="007D6986" w:rsidRPr="007D6986" w14:paraId="331C6076" w14:textId="77777777" w:rsidTr="007D6986">
        <w:trPr>
          <w:trHeight w:val="300"/>
        </w:trPr>
        <w:tc>
          <w:tcPr>
            <w:tcW w:w="1407" w:type="dxa"/>
            <w:shd w:val="clear" w:color="auto" w:fill="auto"/>
            <w:noWrap/>
            <w:vAlign w:val="bottom"/>
            <w:hideMark/>
          </w:tcPr>
          <w:p w14:paraId="5D2FED8C" w14:textId="77777777" w:rsidR="007D6986" w:rsidRPr="007D6986" w:rsidRDefault="007D6986" w:rsidP="007D6986">
            <w:pPr>
              <w:spacing w:after="0" w:line="240" w:lineRule="auto"/>
              <w:rPr>
                <w:rFonts w:ascii="Calibri" w:eastAsia="Times New Roman" w:hAnsi="Calibri" w:cs="Times New Roman"/>
                <w:color w:val="000000"/>
                <w:lang w:val="en-US"/>
              </w:rPr>
            </w:pPr>
            <w:proofErr w:type="spellStart"/>
            <w:r w:rsidRPr="007D6986">
              <w:rPr>
                <w:rFonts w:ascii="Calibri" w:eastAsia="Times New Roman" w:hAnsi="Calibri" w:cs="Times New Roman"/>
                <w:color w:val="000000"/>
                <w:lang w:val="en-US"/>
              </w:rPr>
              <w:t>Trp</w:t>
            </w:r>
            <w:proofErr w:type="spellEnd"/>
          </w:p>
        </w:tc>
        <w:tc>
          <w:tcPr>
            <w:tcW w:w="1320" w:type="dxa"/>
            <w:shd w:val="clear" w:color="auto" w:fill="auto"/>
            <w:noWrap/>
            <w:vAlign w:val="bottom"/>
            <w:hideMark/>
          </w:tcPr>
          <w:p w14:paraId="12B905D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0,9%</w:t>
            </w:r>
          </w:p>
        </w:tc>
        <w:tc>
          <w:tcPr>
            <w:tcW w:w="1101" w:type="dxa"/>
            <w:shd w:val="clear" w:color="auto" w:fill="auto"/>
            <w:noWrap/>
            <w:vAlign w:val="bottom"/>
            <w:hideMark/>
          </w:tcPr>
          <w:p w14:paraId="5F21540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0,5%</w:t>
            </w:r>
          </w:p>
        </w:tc>
        <w:tc>
          <w:tcPr>
            <w:tcW w:w="1701" w:type="dxa"/>
            <w:shd w:val="clear" w:color="auto" w:fill="auto"/>
            <w:noWrap/>
            <w:vAlign w:val="bottom"/>
            <w:hideMark/>
          </w:tcPr>
          <w:p w14:paraId="1CA2863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0,5%</w:t>
            </w:r>
          </w:p>
        </w:tc>
        <w:tc>
          <w:tcPr>
            <w:tcW w:w="1134" w:type="dxa"/>
            <w:shd w:val="clear" w:color="auto" w:fill="auto"/>
            <w:noWrap/>
            <w:vAlign w:val="bottom"/>
            <w:hideMark/>
          </w:tcPr>
          <w:p w14:paraId="22039964"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204,2</w:t>
            </w:r>
          </w:p>
        </w:tc>
        <w:tc>
          <w:tcPr>
            <w:tcW w:w="1215" w:type="dxa"/>
            <w:shd w:val="clear" w:color="auto" w:fill="auto"/>
            <w:noWrap/>
            <w:vAlign w:val="bottom"/>
            <w:hideMark/>
          </w:tcPr>
          <w:p w14:paraId="7F2047A6"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2,31E-05</w:t>
            </w:r>
          </w:p>
        </w:tc>
        <w:tc>
          <w:tcPr>
            <w:tcW w:w="1336" w:type="dxa"/>
            <w:shd w:val="clear" w:color="auto" w:fill="auto"/>
            <w:noWrap/>
            <w:vAlign w:val="bottom"/>
            <w:hideMark/>
          </w:tcPr>
          <w:p w14:paraId="14699F99"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0,7%</w:t>
            </w:r>
          </w:p>
        </w:tc>
      </w:tr>
      <w:tr w:rsidR="007D6986" w:rsidRPr="007D6986" w14:paraId="6CAB1757" w14:textId="77777777" w:rsidTr="007D6986">
        <w:trPr>
          <w:trHeight w:val="300"/>
        </w:trPr>
        <w:tc>
          <w:tcPr>
            <w:tcW w:w="1407" w:type="dxa"/>
            <w:shd w:val="clear" w:color="auto" w:fill="auto"/>
            <w:noWrap/>
            <w:vAlign w:val="bottom"/>
            <w:hideMark/>
          </w:tcPr>
          <w:p w14:paraId="62AD6B54"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Tyr</w:t>
            </w:r>
          </w:p>
        </w:tc>
        <w:tc>
          <w:tcPr>
            <w:tcW w:w="1320" w:type="dxa"/>
            <w:shd w:val="clear" w:color="auto" w:fill="auto"/>
            <w:noWrap/>
            <w:vAlign w:val="bottom"/>
            <w:hideMark/>
          </w:tcPr>
          <w:p w14:paraId="31FB54E7"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3,4%</w:t>
            </w:r>
          </w:p>
        </w:tc>
        <w:tc>
          <w:tcPr>
            <w:tcW w:w="1101" w:type="dxa"/>
            <w:shd w:val="clear" w:color="auto" w:fill="auto"/>
            <w:noWrap/>
            <w:vAlign w:val="bottom"/>
            <w:hideMark/>
          </w:tcPr>
          <w:p w14:paraId="11F4DE2A"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1,7%</w:t>
            </w:r>
          </w:p>
        </w:tc>
        <w:tc>
          <w:tcPr>
            <w:tcW w:w="1701" w:type="dxa"/>
            <w:shd w:val="clear" w:color="auto" w:fill="auto"/>
            <w:noWrap/>
            <w:vAlign w:val="bottom"/>
            <w:hideMark/>
          </w:tcPr>
          <w:p w14:paraId="79FBA63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1,7%</w:t>
            </w:r>
          </w:p>
        </w:tc>
        <w:tc>
          <w:tcPr>
            <w:tcW w:w="1134" w:type="dxa"/>
            <w:shd w:val="clear" w:color="auto" w:fill="auto"/>
            <w:noWrap/>
            <w:vAlign w:val="bottom"/>
            <w:hideMark/>
          </w:tcPr>
          <w:p w14:paraId="46250F6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181,2</w:t>
            </w:r>
          </w:p>
        </w:tc>
        <w:tc>
          <w:tcPr>
            <w:tcW w:w="1215" w:type="dxa"/>
            <w:shd w:val="clear" w:color="auto" w:fill="auto"/>
            <w:noWrap/>
            <w:vAlign w:val="bottom"/>
            <w:hideMark/>
          </w:tcPr>
          <w:p w14:paraId="16CBF673"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9,30E-05</w:t>
            </w:r>
          </w:p>
        </w:tc>
        <w:tc>
          <w:tcPr>
            <w:tcW w:w="1336" w:type="dxa"/>
            <w:shd w:val="clear" w:color="auto" w:fill="auto"/>
            <w:noWrap/>
            <w:vAlign w:val="bottom"/>
            <w:hideMark/>
          </w:tcPr>
          <w:p w14:paraId="29BA5712"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2,8%</w:t>
            </w:r>
          </w:p>
        </w:tc>
      </w:tr>
      <w:tr w:rsidR="007D6986" w:rsidRPr="007D6986" w14:paraId="0FFDEAC0" w14:textId="77777777" w:rsidTr="007D6986">
        <w:trPr>
          <w:trHeight w:val="300"/>
        </w:trPr>
        <w:tc>
          <w:tcPr>
            <w:tcW w:w="1407" w:type="dxa"/>
            <w:shd w:val="clear" w:color="auto" w:fill="auto"/>
            <w:noWrap/>
            <w:vAlign w:val="bottom"/>
            <w:hideMark/>
          </w:tcPr>
          <w:p w14:paraId="7AAB6195" w14:textId="77777777" w:rsidR="007D6986" w:rsidRPr="007D6986" w:rsidRDefault="007D6986" w:rsidP="007D6986">
            <w:pPr>
              <w:spacing w:after="0" w:line="240" w:lineRule="auto"/>
              <w:rPr>
                <w:rFonts w:ascii="Calibri" w:eastAsia="Times New Roman" w:hAnsi="Calibri" w:cs="Times New Roman"/>
                <w:color w:val="000000"/>
                <w:lang w:val="en-US"/>
              </w:rPr>
            </w:pPr>
            <w:r w:rsidRPr="007D6986">
              <w:rPr>
                <w:rFonts w:ascii="Calibri" w:eastAsia="Times New Roman" w:hAnsi="Calibri" w:cs="Times New Roman"/>
                <w:color w:val="000000"/>
                <w:lang w:val="en-US"/>
              </w:rPr>
              <w:t>Val</w:t>
            </w:r>
          </w:p>
        </w:tc>
        <w:tc>
          <w:tcPr>
            <w:tcW w:w="1320" w:type="dxa"/>
            <w:shd w:val="clear" w:color="auto" w:fill="auto"/>
            <w:noWrap/>
            <w:vAlign w:val="bottom"/>
            <w:hideMark/>
          </w:tcPr>
          <w:p w14:paraId="1BCB906F"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5,4%</w:t>
            </w:r>
          </w:p>
        </w:tc>
        <w:tc>
          <w:tcPr>
            <w:tcW w:w="1101" w:type="dxa"/>
            <w:shd w:val="clear" w:color="auto" w:fill="auto"/>
            <w:noWrap/>
            <w:vAlign w:val="bottom"/>
            <w:hideMark/>
          </w:tcPr>
          <w:p w14:paraId="6B70BD2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2,7%</w:t>
            </w:r>
          </w:p>
        </w:tc>
        <w:tc>
          <w:tcPr>
            <w:tcW w:w="1701" w:type="dxa"/>
            <w:shd w:val="clear" w:color="auto" w:fill="auto"/>
            <w:noWrap/>
            <w:vAlign w:val="bottom"/>
            <w:hideMark/>
          </w:tcPr>
          <w:p w14:paraId="5F1652CB"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2,7%</w:t>
            </w:r>
          </w:p>
        </w:tc>
        <w:tc>
          <w:tcPr>
            <w:tcW w:w="1134" w:type="dxa"/>
            <w:shd w:val="clear" w:color="auto" w:fill="auto"/>
            <w:noWrap/>
            <w:vAlign w:val="bottom"/>
            <w:hideMark/>
          </w:tcPr>
          <w:p w14:paraId="767321DD"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117,2</w:t>
            </w:r>
          </w:p>
        </w:tc>
        <w:tc>
          <w:tcPr>
            <w:tcW w:w="1215" w:type="dxa"/>
            <w:shd w:val="clear" w:color="auto" w:fill="auto"/>
            <w:noWrap/>
            <w:vAlign w:val="bottom"/>
            <w:hideMark/>
          </w:tcPr>
          <w:p w14:paraId="39E71F9C"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2,33E-04</w:t>
            </w:r>
          </w:p>
        </w:tc>
        <w:tc>
          <w:tcPr>
            <w:tcW w:w="1336" w:type="dxa"/>
            <w:shd w:val="clear" w:color="auto" w:fill="auto"/>
            <w:noWrap/>
            <w:vAlign w:val="bottom"/>
            <w:hideMark/>
          </w:tcPr>
          <w:p w14:paraId="72B4751E" w14:textId="77777777" w:rsidR="007D6986" w:rsidRPr="007D6986" w:rsidRDefault="007D6986" w:rsidP="007D6986">
            <w:pPr>
              <w:spacing w:after="0" w:line="240" w:lineRule="auto"/>
              <w:jc w:val="right"/>
              <w:rPr>
                <w:rFonts w:ascii="Calibri" w:eastAsia="Times New Roman" w:hAnsi="Calibri" w:cs="Times New Roman"/>
                <w:color w:val="000000"/>
                <w:lang w:val="en-US"/>
              </w:rPr>
            </w:pPr>
            <w:r w:rsidRPr="007D6986">
              <w:rPr>
                <w:rFonts w:ascii="Calibri" w:eastAsia="Times New Roman" w:hAnsi="Calibri" w:cs="Times New Roman"/>
                <w:color w:val="000000"/>
                <w:lang w:val="en-US"/>
              </w:rPr>
              <w:t>7,0%</w:t>
            </w:r>
          </w:p>
        </w:tc>
      </w:tr>
      <w:tr w:rsidR="007D6986" w:rsidRPr="007D6986" w14:paraId="729C4A50" w14:textId="77777777" w:rsidTr="007D6986">
        <w:trPr>
          <w:trHeight w:val="300"/>
        </w:trPr>
        <w:tc>
          <w:tcPr>
            <w:tcW w:w="1407" w:type="dxa"/>
            <w:shd w:val="clear" w:color="auto" w:fill="auto"/>
            <w:noWrap/>
            <w:vAlign w:val="bottom"/>
            <w:hideMark/>
          </w:tcPr>
          <w:p w14:paraId="1B237C21" w14:textId="77777777" w:rsidR="007D6986" w:rsidRPr="007D6986" w:rsidRDefault="007D6986" w:rsidP="007D6986">
            <w:pPr>
              <w:spacing w:after="0" w:line="240" w:lineRule="auto"/>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Total</w:t>
            </w:r>
          </w:p>
        </w:tc>
        <w:tc>
          <w:tcPr>
            <w:tcW w:w="1320" w:type="dxa"/>
            <w:shd w:val="clear" w:color="auto" w:fill="auto"/>
            <w:noWrap/>
            <w:vAlign w:val="bottom"/>
            <w:hideMark/>
          </w:tcPr>
          <w:p w14:paraId="3B5DB031" w14:textId="77777777" w:rsidR="007D6986" w:rsidRPr="007D6986" w:rsidRDefault="007D6986" w:rsidP="007D6986">
            <w:pPr>
              <w:spacing w:after="0" w:line="240" w:lineRule="auto"/>
              <w:jc w:val="right"/>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100%</w:t>
            </w:r>
          </w:p>
        </w:tc>
        <w:tc>
          <w:tcPr>
            <w:tcW w:w="1101" w:type="dxa"/>
            <w:shd w:val="clear" w:color="auto" w:fill="auto"/>
            <w:noWrap/>
            <w:vAlign w:val="bottom"/>
            <w:hideMark/>
          </w:tcPr>
          <w:p w14:paraId="143D161B" w14:textId="77777777" w:rsidR="007D6986" w:rsidRPr="007D6986" w:rsidRDefault="007D6986" w:rsidP="007D6986">
            <w:pPr>
              <w:spacing w:after="0" w:line="240" w:lineRule="auto"/>
              <w:jc w:val="right"/>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50,2%</w:t>
            </w:r>
          </w:p>
        </w:tc>
        <w:tc>
          <w:tcPr>
            <w:tcW w:w="1701" w:type="dxa"/>
            <w:shd w:val="clear" w:color="auto" w:fill="auto"/>
            <w:noWrap/>
            <w:vAlign w:val="bottom"/>
            <w:hideMark/>
          </w:tcPr>
          <w:p w14:paraId="0685B62C" w14:textId="77777777" w:rsidR="007D6986" w:rsidRPr="007D6986" w:rsidRDefault="007D6986" w:rsidP="007D6986">
            <w:pPr>
              <w:spacing w:after="0" w:line="240" w:lineRule="auto"/>
              <w:jc w:val="right"/>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43,0%</w:t>
            </w:r>
          </w:p>
        </w:tc>
        <w:tc>
          <w:tcPr>
            <w:tcW w:w="1134" w:type="dxa"/>
            <w:shd w:val="clear" w:color="auto" w:fill="auto"/>
            <w:noWrap/>
            <w:vAlign w:val="bottom"/>
            <w:hideMark/>
          </w:tcPr>
          <w:p w14:paraId="52AA577A" w14:textId="401D80F7" w:rsidR="007D6986" w:rsidRPr="007D6986" w:rsidRDefault="00DE7EB3" w:rsidP="007D6986">
            <w:pPr>
              <w:spacing w:after="0" w:line="240" w:lineRule="auto"/>
              <w:jc w:val="right"/>
              <w:rPr>
                <w:rFonts w:ascii="Calibri" w:eastAsia="Times New Roman" w:hAnsi="Calibri" w:cs="Times New Roman"/>
                <w:b/>
                <w:bCs/>
                <w:color w:val="000000"/>
                <w:lang w:val="en-US"/>
              </w:rPr>
            </w:pPr>
            <w:r>
              <w:rPr>
                <w:rFonts w:ascii="Calibri" w:eastAsia="Times New Roman" w:hAnsi="Calibri" w:cs="Times New Roman"/>
                <w:b/>
                <w:bCs/>
                <w:color w:val="000000"/>
                <w:lang w:val="en-US"/>
              </w:rPr>
              <w:t>129,9</w:t>
            </w:r>
          </w:p>
        </w:tc>
        <w:tc>
          <w:tcPr>
            <w:tcW w:w="1215" w:type="dxa"/>
            <w:shd w:val="clear" w:color="auto" w:fill="auto"/>
            <w:noWrap/>
            <w:vAlign w:val="bottom"/>
            <w:hideMark/>
          </w:tcPr>
          <w:p w14:paraId="6BEAC493" w14:textId="77777777" w:rsidR="007D6986" w:rsidRPr="007D6986" w:rsidRDefault="007D6986" w:rsidP="007D6986">
            <w:pPr>
              <w:spacing w:after="0" w:line="240" w:lineRule="auto"/>
              <w:jc w:val="right"/>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3,31E-03</w:t>
            </w:r>
          </w:p>
        </w:tc>
        <w:tc>
          <w:tcPr>
            <w:tcW w:w="1336" w:type="dxa"/>
            <w:shd w:val="clear" w:color="auto" w:fill="auto"/>
            <w:noWrap/>
            <w:vAlign w:val="bottom"/>
            <w:hideMark/>
          </w:tcPr>
          <w:p w14:paraId="288432C4" w14:textId="77777777" w:rsidR="007D6986" w:rsidRPr="007D6986" w:rsidRDefault="007D6986" w:rsidP="007D6986">
            <w:pPr>
              <w:spacing w:after="0" w:line="240" w:lineRule="auto"/>
              <w:jc w:val="right"/>
              <w:rPr>
                <w:rFonts w:ascii="Calibri" w:eastAsia="Times New Roman" w:hAnsi="Calibri" w:cs="Times New Roman"/>
                <w:b/>
                <w:bCs/>
                <w:color w:val="000000"/>
                <w:lang w:val="en-US"/>
              </w:rPr>
            </w:pPr>
            <w:r w:rsidRPr="007D6986">
              <w:rPr>
                <w:rFonts w:ascii="Calibri" w:eastAsia="Times New Roman" w:hAnsi="Calibri" w:cs="Times New Roman"/>
                <w:b/>
                <w:bCs/>
                <w:color w:val="000000"/>
                <w:lang w:val="en-US"/>
              </w:rPr>
              <w:t>100%</w:t>
            </w:r>
          </w:p>
        </w:tc>
      </w:tr>
    </w:tbl>
    <w:p w14:paraId="59148865" w14:textId="77777777" w:rsidR="00B30E5E" w:rsidRDefault="00B30E5E">
      <w:pPr>
        <w:rPr>
          <w:b/>
          <w:lang w:val="en-US"/>
        </w:rPr>
      </w:pPr>
      <w:r>
        <w:rPr>
          <w:lang w:val="en-US"/>
        </w:rPr>
        <w:t>*Glutamate and alanine in lipoteichoic acid and peptidoglycan are subtracted from measured values.</w:t>
      </w:r>
      <w:r w:rsidR="005C72D5" w:rsidRPr="0069281C">
        <w:rPr>
          <w:b/>
          <w:lang w:val="en-US"/>
        </w:rPr>
        <w:br/>
      </w:r>
    </w:p>
    <w:p w14:paraId="070CAC3F" w14:textId="0051B189" w:rsidR="005C72D5" w:rsidRPr="00111BAA" w:rsidRDefault="005C72D5">
      <w:pPr>
        <w:rPr>
          <w:lang w:val="en-US"/>
        </w:rPr>
      </w:pPr>
      <w:r w:rsidRPr="00111BAA">
        <w:rPr>
          <w:lang w:val="en-US"/>
        </w:rPr>
        <w:t>Alanine in lipoteichoic acid:</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128"/>
      </w:tblGrid>
      <w:tr w:rsidR="00F000C2" w:rsidRPr="0069281C" w14:paraId="64193EAC" w14:textId="77777777" w:rsidTr="002C64D8">
        <w:trPr>
          <w:trHeight w:val="300"/>
        </w:trPr>
        <w:tc>
          <w:tcPr>
            <w:tcW w:w="3120" w:type="dxa"/>
            <w:shd w:val="clear" w:color="auto" w:fill="auto"/>
            <w:vAlign w:val="center"/>
            <w:hideMark/>
          </w:tcPr>
          <w:p w14:paraId="27411987" w14:textId="77777777" w:rsidR="00F000C2" w:rsidRPr="0069281C" w:rsidRDefault="00F000C2" w:rsidP="00F000C2">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mmol LTA / </w:t>
            </w:r>
            <w:proofErr w:type="spellStart"/>
            <w:r w:rsidRPr="0069281C">
              <w:rPr>
                <w:rFonts w:eastAsia="Times New Roman" w:cs="Times New Roman"/>
                <w:color w:val="000000"/>
                <w:lang w:val="en-US"/>
              </w:rPr>
              <w:t>gDW</w:t>
            </w:r>
            <w:proofErr w:type="spellEnd"/>
          </w:p>
        </w:tc>
        <w:tc>
          <w:tcPr>
            <w:tcW w:w="1128" w:type="dxa"/>
            <w:shd w:val="clear" w:color="auto" w:fill="auto"/>
            <w:noWrap/>
            <w:vAlign w:val="bottom"/>
            <w:hideMark/>
          </w:tcPr>
          <w:p w14:paraId="077D119C" w14:textId="77777777" w:rsidR="00F000C2" w:rsidRPr="0069281C" w:rsidRDefault="00F000C2" w:rsidP="00F000C2">
            <w:pPr>
              <w:spacing w:after="0" w:line="240" w:lineRule="auto"/>
              <w:jc w:val="right"/>
              <w:rPr>
                <w:rFonts w:eastAsia="Times New Roman" w:cs="Times New Roman"/>
                <w:color w:val="000000"/>
                <w:lang w:val="en-US"/>
              </w:rPr>
            </w:pPr>
            <w:r w:rsidRPr="0069281C">
              <w:rPr>
                <w:rFonts w:eastAsia="Times New Roman" w:cs="Times New Roman"/>
                <w:color w:val="000000"/>
                <w:lang w:val="en-US"/>
              </w:rPr>
              <w:t>0,018</w:t>
            </w:r>
          </w:p>
        </w:tc>
      </w:tr>
      <w:tr w:rsidR="00F000C2" w:rsidRPr="0069281C" w14:paraId="130CDAA7" w14:textId="77777777" w:rsidTr="002C64D8">
        <w:trPr>
          <w:trHeight w:val="300"/>
        </w:trPr>
        <w:tc>
          <w:tcPr>
            <w:tcW w:w="3120" w:type="dxa"/>
            <w:shd w:val="clear" w:color="auto" w:fill="auto"/>
            <w:vAlign w:val="center"/>
            <w:hideMark/>
          </w:tcPr>
          <w:p w14:paraId="378644BF" w14:textId="77777777" w:rsidR="00F000C2" w:rsidRPr="0069281C" w:rsidRDefault="00F000C2" w:rsidP="00F000C2">
            <w:pPr>
              <w:spacing w:after="0" w:line="240" w:lineRule="auto"/>
              <w:rPr>
                <w:rFonts w:eastAsia="Times New Roman" w:cs="Times New Roman"/>
                <w:color w:val="000000"/>
                <w:lang w:val="en-US"/>
              </w:rPr>
            </w:pPr>
            <w:r w:rsidRPr="0069281C">
              <w:rPr>
                <w:rFonts w:eastAsia="Times New Roman" w:cs="Times New Roman"/>
                <w:color w:val="000000"/>
                <w:lang w:val="en-US"/>
              </w:rPr>
              <w:t>mol alanine / mol LTA</w:t>
            </w:r>
          </w:p>
        </w:tc>
        <w:tc>
          <w:tcPr>
            <w:tcW w:w="1128" w:type="dxa"/>
            <w:shd w:val="clear" w:color="auto" w:fill="auto"/>
            <w:noWrap/>
            <w:vAlign w:val="bottom"/>
            <w:hideMark/>
          </w:tcPr>
          <w:p w14:paraId="35081B52" w14:textId="77777777" w:rsidR="00F000C2" w:rsidRPr="0069281C" w:rsidRDefault="00F000C2" w:rsidP="00F000C2">
            <w:pPr>
              <w:spacing w:after="0" w:line="240" w:lineRule="auto"/>
              <w:jc w:val="right"/>
              <w:rPr>
                <w:rFonts w:eastAsia="Times New Roman" w:cs="Times New Roman"/>
                <w:color w:val="000000"/>
                <w:lang w:val="en-US"/>
              </w:rPr>
            </w:pPr>
            <w:r w:rsidRPr="0069281C">
              <w:rPr>
                <w:rFonts w:eastAsia="Times New Roman" w:cs="Times New Roman"/>
                <w:color w:val="000000"/>
                <w:lang w:val="en-US"/>
              </w:rPr>
              <w:t>15,3</w:t>
            </w:r>
          </w:p>
        </w:tc>
      </w:tr>
      <w:tr w:rsidR="00F000C2" w:rsidRPr="0069281C" w14:paraId="3A4A7FEF" w14:textId="77777777" w:rsidTr="002C64D8">
        <w:trPr>
          <w:trHeight w:val="300"/>
        </w:trPr>
        <w:tc>
          <w:tcPr>
            <w:tcW w:w="3120" w:type="dxa"/>
            <w:shd w:val="clear" w:color="auto" w:fill="auto"/>
            <w:vAlign w:val="center"/>
            <w:hideMark/>
          </w:tcPr>
          <w:p w14:paraId="6F2D058B" w14:textId="77777777" w:rsidR="00F000C2" w:rsidRPr="0069281C" w:rsidRDefault="00F000C2" w:rsidP="00F000C2">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mol alanine in LTA / </w:t>
            </w:r>
            <w:proofErr w:type="spellStart"/>
            <w:r w:rsidRPr="0069281C">
              <w:rPr>
                <w:rFonts w:eastAsia="Times New Roman" w:cs="Times New Roman"/>
                <w:color w:val="000000"/>
                <w:lang w:val="en-US"/>
              </w:rPr>
              <w:t>gDW</w:t>
            </w:r>
            <w:proofErr w:type="spellEnd"/>
          </w:p>
        </w:tc>
        <w:tc>
          <w:tcPr>
            <w:tcW w:w="1128" w:type="dxa"/>
            <w:shd w:val="clear" w:color="auto" w:fill="auto"/>
            <w:noWrap/>
            <w:vAlign w:val="bottom"/>
            <w:hideMark/>
          </w:tcPr>
          <w:p w14:paraId="2D3A8D46" w14:textId="77777777" w:rsidR="00F000C2" w:rsidRPr="0069281C" w:rsidRDefault="00F000C2" w:rsidP="00F000C2">
            <w:pPr>
              <w:spacing w:after="0" w:line="240" w:lineRule="auto"/>
              <w:jc w:val="right"/>
              <w:rPr>
                <w:rFonts w:eastAsia="Times New Roman" w:cs="Times New Roman"/>
                <w:color w:val="000000"/>
                <w:lang w:val="en-US"/>
              </w:rPr>
            </w:pPr>
            <w:r w:rsidRPr="0069281C">
              <w:rPr>
                <w:rFonts w:eastAsia="Times New Roman" w:cs="Times New Roman"/>
                <w:color w:val="000000"/>
                <w:lang w:val="en-US"/>
              </w:rPr>
              <w:t>0,0003</w:t>
            </w:r>
          </w:p>
        </w:tc>
      </w:tr>
      <w:tr w:rsidR="00F000C2" w:rsidRPr="0069281C" w14:paraId="103AA8BF" w14:textId="77777777" w:rsidTr="002C64D8">
        <w:trPr>
          <w:trHeight w:val="300"/>
        </w:trPr>
        <w:tc>
          <w:tcPr>
            <w:tcW w:w="3120" w:type="dxa"/>
            <w:shd w:val="clear" w:color="auto" w:fill="auto"/>
            <w:vAlign w:val="center"/>
            <w:hideMark/>
          </w:tcPr>
          <w:p w14:paraId="571AD4EE" w14:textId="77777777" w:rsidR="00F000C2" w:rsidRPr="0069281C" w:rsidRDefault="00F000C2" w:rsidP="00F000C2">
            <w:pPr>
              <w:spacing w:after="0" w:line="240" w:lineRule="auto"/>
              <w:rPr>
                <w:rFonts w:eastAsia="Times New Roman" w:cs="Times New Roman"/>
                <w:color w:val="000000"/>
                <w:lang w:val="en-US"/>
              </w:rPr>
            </w:pPr>
            <w:r w:rsidRPr="0069281C">
              <w:rPr>
                <w:rFonts w:eastAsia="Times New Roman" w:cs="Times New Roman"/>
                <w:color w:val="000000"/>
                <w:lang w:val="en-US"/>
              </w:rPr>
              <w:t>Alanine molar mass (g/mol)</w:t>
            </w:r>
          </w:p>
        </w:tc>
        <w:tc>
          <w:tcPr>
            <w:tcW w:w="1128" w:type="dxa"/>
            <w:shd w:val="clear" w:color="auto" w:fill="auto"/>
            <w:noWrap/>
            <w:vAlign w:val="bottom"/>
            <w:hideMark/>
          </w:tcPr>
          <w:p w14:paraId="3B6797E3" w14:textId="77777777" w:rsidR="00F000C2" w:rsidRPr="0069281C" w:rsidRDefault="00F000C2" w:rsidP="00F000C2">
            <w:pPr>
              <w:spacing w:after="0" w:line="240" w:lineRule="auto"/>
              <w:jc w:val="right"/>
              <w:rPr>
                <w:rFonts w:eastAsia="Times New Roman" w:cs="Times New Roman"/>
                <w:color w:val="000000"/>
                <w:lang w:val="en-US"/>
              </w:rPr>
            </w:pPr>
            <w:r w:rsidRPr="0069281C">
              <w:rPr>
                <w:rFonts w:eastAsia="Times New Roman" w:cs="Times New Roman"/>
                <w:color w:val="000000"/>
                <w:lang w:val="en-US"/>
              </w:rPr>
              <w:t>89,094</w:t>
            </w:r>
          </w:p>
        </w:tc>
      </w:tr>
      <w:tr w:rsidR="00F000C2" w:rsidRPr="0069281C" w14:paraId="12808D51" w14:textId="77777777" w:rsidTr="002C64D8">
        <w:trPr>
          <w:trHeight w:val="300"/>
        </w:trPr>
        <w:tc>
          <w:tcPr>
            <w:tcW w:w="3120" w:type="dxa"/>
            <w:shd w:val="clear" w:color="auto" w:fill="auto"/>
            <w:vAlign w:val="center"/>
            <w:hideMark/>
          </w:tcPr>
          <w:p w14:paraId="35687397" w14:textId="77777777" w:rsidR="00F000C2" w:rsidRPr="0069281C" w:rsidRDefault="00F000C2" w:rsidP="00F000C2">
            <w:pPr>
              <w:spacing w:after="0" w:line="240" w:lineRule="auto"/>
              <w:rPr>
                <w:rFonts w:eastAsia="Times New Roman" w:cs="Times New Roman"/>
                <w:b/>
                <w:color w:val="000000"/>
                <w:lang w:val="en-US"/>
              </w:rPr>
            </w:pPr>
            <w:r w:rsidRPr="0069281C">
              <w:rPr>
                <w:rFonts w:eastAsia="Times New Roman" w:cs="Times New Roman"/>
                <w:b/>
                <w:color w:val="000000"/>
                <w:lang w:val="en-US"/>
              </w:rPr>
              <w:t xml:space="preserve">g alanine in LTA / </w:t>
            </w:r>
            <w:proofErr w:type="spellStart"/>
            <w:r w:rsidRPr="0069281C">
              <w:rPr>
                <w:rFonts w:eastAsia="Times New Roman" w:cs="Times New Roman"/>
                <w:b/>
                <w:color w:val="000000"/>
                <w:lang w:val="en-US"/>
              </w:rPr>
              <w:t>gDW</w:t>
            </w:r>
            <w:proofErr w:type="spellEnd"/>
          </w:p>
        </w:tc>
        <w:tc>
          <w:tcPr>
            <w:tcW w:w="1128" w:type="dxa"/>
            <w:shd w:val="clear" w:color="auto" w:fill="auto"/>
            <w:noWrap/>
            <w:vAlign w:val="bottom"/>
            <w:hideMark/>
          </w:tcPr>
          <w:p w14:paraId="03273749" w14:textId="77777777" w:rsidR="00F000C2" w:rsidRPr="0069281C" w:rsidRDefault="00F000C2" w:rsidP="00F000C2">
            <w:pPr>
              <w:spacing w:after="0" w:line="240" w:lineRule="auto"/>
              <w:jc w:val="right"/>
              <w:rPr>
                <w:rFonts w:eastAsia="Times New Roman" w:cs="Times New Roman"/>
                <w:b/>
                <w:color w:val="000000"/>
                <w:lang w:val="en-US"/>
              </w:rPr>
            </w:pPr>
            <w:r w:rsidRPr="0069281C">
              <w:rPr>
                <w:rFonts w:eastAsia="Times New Roman" w:cs="Times New Roman"/>
                <w:b/>
                <w:color w:val="000000"/>
                <w:lang w:val="en-US"/>
              </w:rPr>
              <w:t>0,0245</w:t>
            </w:r>
          </w:p>
        </w:tc>
      </w:tr>
    </w:tbl>
    <w:p w14:paraId="01E53A4D" w14:textId="70A733F0" w:rsidR="005C72D5" w:rsidRPr="00111BAA" w:rsidRDefault="005C72D5">
      <w:pPr>
        <w:rPr>
          <w:lang w:val="en-US"/>
        </w:rPr>
      </w:pPr>
      <w:r w:rsidRPr="0069281C">
        <w:rPr>
          <w:lang w:val="en-US"/>
        </w:rPr>
        <w:br/>
      </w:r>
      <w:r w:rsidRPr="00111BAA">
        <w:rPr>
          <w:lang w:val="en-US"/>
        </w:rPr>
        <w:t>Alanine in peptidoglycan:</w:t>
      </w:r>
    </w:p>
    <w:tbl>
      <w:tblP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180"/>
      </w:tblGrid>
      <w:tr w:rsidR="0050033E" w:rsidRPr="0069281C" w14:paraId="0C6D5D12" w14:textId="77777777" w:rsidTr="00F000C2">
        <w:trPr>
          <w:trHeight w:val="300"/>
        </w:trPr>
        <w:tc>
          <w:tcPr>
            <w:tcW w:w="3060" w:type="dxa"/>
            <w:shd w:val="clear" w:color="auto" w:fill="auto"/>
            <w:vAlign w:val="center"/>
            <w:hideMark/>
          </w:tcPr>
          <w:p w14:paraId="61592FC2"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mmol PGlac2 / </w:t>
            </w:r>
            <w:proofErr w:type="spellStart"/>
            <w:r w:rsidRPr="0069281C">
              <w:rPr>
                <w:rFonts w:eastAsia="Times New Roman" w:cs="Times New Roman"/>
                <w:color w:val="000000"/>
                <w:lang w:val="en-US"/>
              </w:rPr>
              <w:t>gDW</w:t>
            </w:r>
            <w:proofErr w:type="spellEnd"/>
          </w:p>
        </w:tc>
        <w:tc>
          <w:tcPr>
            <w:tcW w:w="1180" w:type="dxa"/>
            <w:shd w:val="clear" w:color="auto" w:fill="auto"/>
            <w:noWrap/>
            <w:vAlign w:val="bottom"/>
            <w:hideMark/>
          </w:tcPr>
          <w:p w14:paraId="358A0EFA" w14:textId="00050935"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0,1</w:t>
            </w:r>
            <w:r w:rsidR="007D6986">
              <w:rPr>
                <w:color w:val="000000"/>
                <w:lang w:val="en-US"/>
              </w:rPr>
              <w:t>45</w:t>
            </w:r>
          </w:p>
        </w:tc>
      </w:tr>
      <w:tr w:rsidR="0050033E" w:rsidRPr="0069281C" w14:paraId="6FA72AF2" w14:textId="77777777" w:rsidTr="00F000C2">
        <w:trPr>
          <w:trHeight w:val="300"/>
        </w:trPr>
        <w:tc>
          <w:tcPr>
            <w:tcW w:w="3060" w:type="dxa"/>
            <w:shd w:val="clear" w:color="auto" w:fill="auto"/>
            <w:noWrap/>
            <w:vAlign w:val="bottom"/>
            <w:hideMark/>
          </w:tcPr>
          <w:p w14:paraId="5A98439E"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mol alanine / mol LTA</w:t>
            </w:r>
          </w:p>
        </w:tc>
        <w:tc>
          <w:tcPr>
            <w:tcW w:w="1180" w:type="dxa"/>
            <w:shd w:val="clear" w:color="auto" w:fill="auto"/>
            <w:noWrap/>
            <w:vAlign w:val="bottom"/>
            <w:hideMark/>
          </w:tcPr>
          <w:p w14:paraId="1E66FA90" w14:textId="6CADC3E9"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2</w:t>
            </w:r>
          </w:p>
        </w:tc>
      </w:tr>
      <w:tr w:rsidR="0050033E" w:rsidRPr="0069281C" w14:paraId="3D5B2AED" w14:textId="77777777" w:rsidTr="00F000C2">
        <w:trPr>
          <w:trHeight w:val="300"/>
        </w:trPr>
        <w:tc>
          <w:tcPr>
            <w:tcW w:w="3060" w:type="dxa"/>
            <w:shd w:val="clear" w:color="auto" w:fill="auto"/>
            <w:vAlign w:val="center"/>
            <w:hideMark/>
          </w:tcPr>
          <w:p w14:paraId="7B276E70"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mol alanine in LTA / </w:t>
            </w:r>
            <w:proofErr w:type="spellStart"/>
            <w:r w:rsidRPr="0069281C">
              <w:rPr>
                <w:rFonts w:eastAsia="Times New Roman" w:cs="Times New Roman"/>
                <w:color w:val="000000"/>
                <w:lang w:val="en-US"/>
              </w:rPr>
              <w:t>gDW</w:t>
            </w:r>
            <w:proofErr w:type="spellEnd"/>
          </w:p>
        </w:tc>
        <w:tc>
          <w:tcPr>
            <w:tcW w:w="1180" w:type="dxa"/>
            <w:shd w:val="clear" w:color="auto" w:fill="auto"/>
            <w:noWrap/>
            <w:vAlign w:val="bottom"/>
            <w:hideMark/>
          </w:tcPr>
          <w:p w14:paraId="32C4A783" w14:textId="2F805891"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0,0003</w:t>
            </w:r>
          </w:p>
        </w:tc>
      </w:tr>
      <w:tr w:rsidR="0050033E" w:rsidRPr="0069281C" w14:paraId="5987B7FD" w14:textId="77777777" w:rsidTr="00F000C2">
        <w:trPr>
          <w:trHeight w:val="300"/>
        </w:trPr>
        <w:tc>
          <w:tcPr>
            <w:tcW w:w="3060" w:type="dxa"/>
            <w:shd w:val="clear" w:color="auto" w:fill="auto"/>
            <w:vAlign w:val="center"/>
            <w:hideMark/>
          </w:tcPr>
          <w:p w14:paraId="6D8A93DF"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Alanine molar mass (g/mol)</w:t>
            </w:r>
          </w:p>
        </w:tc>
        <w:tc>
          <w:tcPr>
            <w:tcW w:w="1180" w:type="dxa"/>
            <w:shd w:val="clear" w:color="auto" w:fill="auto"/>
            <w:noWrap/>
            <w:vAlign w:val="bottom"/>
            <w:hideMark/>
          </w:tcPr>
          <w:p w14:paraId="7857C0AD" w14:textId="4CC75CBD"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89,094</w:t>
            </w:r>
          </w:p>
        </w:tc>
      </w:tr>
      <w:tr w:rsidR="0050033E" w:rsidRPr="0069281C" w14:paraId="2288EC5A" w14:textId="77777777" w:rsidTr="00F000C2">
        <w:trPr>
          <w:trHeight w:val="300"/>
        </w:trPr>
        <w:tc>
          <w:tcPr>
            <w:tcW w:w="3060" w:type="dxa"/>
            <w:shd w:val="clear" w:color="auto" w:fill="auto"/>
            <w:vAlign w:val="center"/>
            <w:hideMark/>
          </w:tcPr>
          <w:p w14:paraId="46AA4A96" w14:textId="77777777" w:rsidR="0050033E" w:rsidRPr="0069281C" w:rsidRDefault="0050033E" w:rsidP="0050033E">
            <w:pPr>
              <w:spacing w:after="0" w:line="240" w:lineRule="auto"/>
              <w:rPr>
                <w:rFonts w:eastAsia="Times New Roman" w:cs="Times New Roman"/>
                <w:b/>
                <w:color w:val="000000"/>
                <w:lang w:val="en-US"/>
              </w:rPr>
            </w:pPr>
            <w:r w:rsidRPr="0069281C">
              <w:rPr>
                <w:rFonts w:eastAsia="Times New Roman" w:cs="Times New Roman"/>
                <w:b/>
                <w:color w:val="000000"/>
                <w:lang w:val="en-US"/>
              </w:rPr>
              <w:t xml:space="preserve">g alanine in LTA / </w:t>
            </w:r>
            <w:proofErr w:type="spellStart"/>
            <w:r w:rsidRPr="0069281C">
              <w:rPr>
                <w:rFonts w:eastAsia="Times New Roman" w:cs="Times New Roman"/>
                <w:b/>
                <w:color w:val="000000"/>
                <w:lang w:val="en-US"/>
              </w:rPr>
              <w:t>gDW</w:t>
            </w:r>
            <w:proofErr w:type="spellEnd"/>
          </w:p>
        </w:tc>
        <w:tc>
          <w:tcPr>
            <w:tcW w:w="1180" w:type="dxa"/>
            <w:shd w:val="clear" w:color="auto" w:fill="auto"/>
            <w:noWrap/>
            <w:vAlign w:val="bottom"/>
            <w:hideMark/>
          </w:tcPr>
          <w:p w14:paraId="0DFC48FE" w14:textId="2FA85FEB" w:rsidR="0050033E" w:rsidRPr="0069281C" w:rsidRDefault="0050033E" w:rsidP="0050033E">
            <w:pPr>
              <w:spacing w:after="0" w:line="240" w:lineRule="auto"/>
              <w:jc w:val="right"/>
              <w:rPr>
                <w:rFonts w:eastAsia="Times New Roman" w:cs="Times New Roman"/>
                <w:b/>
                <w:color w:val="000000"/>
                <w:lang w:val="en-US"/>
              </w:rPr>
            </w:pPr>
            <w:r w:rsidRPr="0069281C">
              <w:rPr>
                <w:b/>
                <w:color w:val="000000"/>
                <w:lang w:val="en-US"/>
              </w:rPr>
              <w:t>0,0</w:t>
            </w:r>
            <w:r w:rsidR="007D6986">
              <w:rPr>
                <w:b/>
                <w:color w:val="000000"/>
                <w:lang w:val="en-US"/>
              </w:rPr>
              <w:t>258</w:t>
            </w:r>
          </w:p>
        </w:tc>
      </w:tr>
    </w:tbl>
    <w:p w14:paraId="2A1DD08D" w14:textId="3237AD91" w:rsidR="005C72D5" w:rsidRPr="00111BAA" w:rsidRDefault="005C72D5">
      <w:pPr>
        <w:rPr>
          <w:lang w:val="en-US"/>
        </w:rPr>
      </w:pPr>
      <w:r w:rsidRPr="0069281C">
        <w:rPr>
          <w:lang w:val="en-US"/>
        </w:rPr>
        <w:br/>
      </w:r>
      <w:r w:rsidRPr="00111BAA">
        <w:rPr>
          <w:lang w:val="en-US"/>
        </w:rPr>
        <w:t>Glutamate in Peptidoglycan:</w:t>
      </w:r>
    </w:p>
    <w:tbl>
      <w:tblP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180"/>
      </w:tblGrid>
      <w:tr w:rsidR="0050033E" w:rsidRPr="0069281C" w14:paraId="596E2F15" w14:textId="77777777" w:rsidTr="00F000C2">
        <w:trPr>
          <w:trHeight w:val="300"/>
        </w:trPr>
        <w:tc>
          <w:tcPr>
            <w:tcW w:w="3060" w:type="dxa"/>
            <w:shd w:val="clear" w:color="auto" w:fill="auto"/>
            <w:vAlign w:val="center"/>
            <w:hideMark/>
          </w:tcPr>
          <w:p w14:paraId="3F6BBB8D"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mmol PGlac2 / </w:t>
            </w:r>
            <w:proofErr w:type="spellStart"/>
            <w:r w:rsidRPr="0069281C">
              <w:rPr>
                <w:rFonts w:eastAsia="Times New Roman" w:cs="Times New Roman"/>
                <w:color w:val="000000"/>
                <w:lang w:val="en-US"/>
              </w:rPr>
              <w:t>gDW</w:t>
            </w:r>
            <w:proofErr w:type="spellEnd"/>
          </w:p>
        </w:tc>
        <w:tc>
          <w:tcPr>
            <w:tcW w:w="1180" w:type="dxa"/>
            <w:shd w:val="clear" w:color="auto" w:fill="auto"/>
            <w:noWrap/>
            <w:vAlign w:val="bottom"/>
            <w:hideMark/>
          </w:tcPr>
          <w:p w14:paraId="2306DD8D" w14:textId="1A3968E1"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0,1</w:t>
            </w:r>
            <w:r w:rsidR="007D6986">
              <w:rPr>
                <w:color w:val="000000"/>
                <w:lang w:val="en-US"/>
              </w:rPr>
              <w:t>45</w:t>
            </w:r>
          </w:p>
        </w:tc>
      </w:tr>
      <w:tr w:rsidR="0050033E" w:rsidRPr="0069281C" w14:paraId="78395736" w14:textId="77777777" w:rsidTr="00F000C2">
        <w:trPr>
          <w:trHeight w:val="300"/>
        </w:trPr>
        <w:tc>
          <w:tcPr>
            <w:tcW w:w="3060" w:type="dxa"/>
            <w:shd w:val="clear" w:color="auto" w:fill="auto"/>
            <w:vAlign w:val="center"/>
            <w:hideMark/>
          </w:tcPr>
          <w:p w14:paraId="73110FB1"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mol glutamate / mol LTA</w:t>
            </w:r>
          </w:p>
        </w:tc>
        <w:tc>
          <w:tcPr>
            <w:tcW w:w="1180" w:type="dxa"/>
            <w:shd w:val="clear" w:color="auto" w:fill="auto"/>
            <w:noWrap/>
            <w:vAlign w:val="bottom"/>
            <w:hideMark/>
          </w:tcPr>
          <w:p w14:paraId="7093FC0C" w14:textId="7626F21B"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1</w:t>
            </w:r>
          </w:p>
        </w:tc>
      </w:tr>
      <w:tr w:rsidR="0050033E" w:rsidRPr="0069281C" w14:paraId="6E181C86" w14:textId="77777777" w:rsidTr="00F000C2">
        <w:trPr>
          <w:trHeight w:val="300"/>
        </w:trPr>
        <w:tc>
          <w:tcPr>
            <w:tcW w:w="3060" w:type="dxa"/>
            <w:shd w:val="clear" w:color="auto" w:fill="auto"/>
            <w:vAlign w:val="center"/>
            <w:hideMark/>
          </w:tcPr>
          <w:p w14:paraId="4AD3A063"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 xml:space="preserve">mol glutamate in LTA / </w:t>
            </w:r>
            <w:proofErr w:type="spellStart"/>
            <w:r w:rsidRPr="0069281C">
              <w:rPr>
                <w:rFonts w:eastAsia="Times New Roman" w:cs="Times New Roman"/>
                <w:color w:val="000000"/>
                <w:lang w:val="en-US"/>
              </w:rPr>
              <w:t>gDW</w:t>
            </w:r>
            <w:proofErr w:type="spellEnd"/>
          </w:p>
        </w:tc>
        <w:tc>
          <w:tcPr>
            <w:tcW w:w="1180" w:type="dxa"/>
            <w:shd w:val="clear" w:color="auto" w:fill="auto"/>
            <w:noWrap/>
            <w:vAlign w:val="bottom"/>
            <w:hideMark/>
          </w:tcPr>
          <w:p w14:paraId="33BCD3DA" w14:textId="0C3BD7B8"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0,0002</w:t>
            </w:r>
          </w:p>
        </w:tc>
      </w:tr>
      <w:tr w:rsidR="0050033E" w:rsidRPr="0069281C" w14:paraId="6BC625AC" w14:textId="77777777" w:rsidTr="00F000C2">
        <w:trPr>
          <w:trHeight w:val="300"/>
        </w:trPr>
        <w:tc>
          <w:tcPr>
            <w:tcW w:w="3060" w:type="dxa"/>
            <w:shd w:val="clear" w:color="auto" w:fill="auto"/>
            <w:vAlign w:val="center"/>
            <w:hideMark/>
          </w:tcPr>
          <w:p w14:paraId="2E0B21B7" w14:textId="77777777" w:rsidR="0050033E" w:rsidRPr="0069281C" w:rsidRDefault="0050033E" w:rsidP="0050033E">
            <w:pPr>
              <w:spacing w:after="0" w:line="240" w:lineRule="auto"/>
              <w:rPr>
                <w:rFonts w:eastAsia="Times New Roman" w:cs="Times New Roman"/>
                <w:color w:val="000000"/>
                <w:lang w:val="en-US"/>
              </w:rPr>
            </w:pPr>
            <w:r w:rsidRPr="0069281C">
              <w:rPr>
                <w:rFonts w:eastAsia="Times New Roman" w:cs="Times New Roman"/>
                <w:color w:val="000000"/>
                <w:lang w:val="en-US"/>
              </w:rPr>
              <w:t>Glutamate molar mass (g/mol)</w:t>
            </w:r>
          </w:p>
        </w:tc>
        <w:tc>
          <w:tcPr>
            <w:tcW w:w="1180" w:type="dxa"/>
            <w:shd w:val="clear" w:color="auto" w:fill="auto"/>
            <w:noWrap/>
            <w:vAlign w:val="bottom"/>
            <w:hideMark/>
          </w:tcPr>
          <w:p w14:paraId="7C1925A5" w14:textId="2470BCFD" w:rsidR="0050033E" w:rsidRPr="0069281C" w:rsidRDefault="0050033E" w:rsidP="0050033E">
            <w:pPr>
              <w:spacing w:after="0" w:line="240" w:lineRule="auto"/>
              <w:jc w:val="right"/>
              <w:rPr>
                <w:rFonts w:eastAsia="Times New Roman" w:cs="Times New Roman"/>
                <w:color w:val="000000"/>
                <w:lang w:val="en-US"/>
              </w:rPr>
            </w:pPr>
            <w:r w:rsidRPr="0069281C">
              <w:rPr>
                <w:color w:val="000000"/>
                <w:lang w:val="en-US"/>
              </w:rPr>
              <w:t>147,13</w:t>
            </w:r>
          </w:p>
        </w:tc>
      </w:tr>
      <w:tr w:rsidR="0050033E" w:rsidRPr="0069281C" w14:paraId="7A0CD02B" w14:textId="77777777" w:rsidTr="00F000C2">
        <w:trPr>
          <w:trHeight w:val="300"/>
        </w:trPr>
        <w:tc>
          <w:tcPr>
            <w:tcW w:w="3060" w:type="dxa"/>
            <w:shd w:val="clear" w:color="auto" w:fill="auto"/>
            <w:vAlign w:val="center"/>
            <w:hideMark/>
          </w:tcPr>
          <w:p w14:paraId="2BA025B5" w14:textId="77777777" w:rsidR="0050033E" w:rsidRPr="0069281C" w:rsidRDefault="0050033E" w:rsidP="0050033E">
            <w:pPr>
              <w:spacing w:after="0" w:line="240" w:lineRule="auto"/>
              <w:rPr>
                <w:rFonts w:eastAsia="Times New Roman" w:cs="Times New Roman"/>
                <w:b/>
                <w:color w:val="000000"/>
                <w:lang w:val="en-US"/>
              </w:rPr>
            </w:pPr>
            <w:r w:rsidRPr="0069281C">
              <w:rPr>
                <w:rFonts w:eastAsia="Times New Roman" w:cs="Times New Roman"/>
                <w:b/>
                <w:color w:val="000000"/>
                <w:lang w:val="en-US"/>
              </w:rPr>
              <w:t xml:space="preserve">g glutamate in LTA / </w:t>
            </w:r>
            <w:proofErr w:type="spellStart"/>
            <w:r w:rsidRPr="0069281C">
              <w:rPr>
                <w:rFonts w:eastAsia="Times New Roman" w:cs="Times New Roman"/>
                <w:b/>
                <w:color w:val="000000"/>
                <w:lang w:val="en-US"/>
              </w:rPr>
              <w:t>gDW</w:t>
            </w:r>
            <w:proofErr w:type="spellEnd"/>
          </w:p>
        </w:tc>
        <w:tc>
          <w:tcPr>
            <w:tcW w:w="1180" w:type="dxa"/>
            <w:shd w:val="clear" w:color="auto" w:fill="auto"/>
            <w:noWrap/>
            <w:vAlign w:val="bottom"/>
            <w:hideMark/>
          </w:tcPr>
          <w:p w14:paraId="39D34BB9" w14:textId="6F8FE121" w:rsidR="0050033E" w:rsidRPr="0069281C" w:rsidRDefault="0050033E" w:rsidP="0050033E">
            <w:pPr>
              <w:spacing w:after="0" w:line="240" w:lineRule="auto"/>
              <w:jc w:val="right"/>
              <w:rPr>
                <w:rFonts w:eastAsia="Times New Roman" w:cs="Times New Roman"/>
                <w:b/>
                <w:color w:val="000000"/>
                <w:lang w:val="en-US"/>
              </w:rPr>
            </w:pPr>
            <w:r w:rsidRPr="0069281C">
              <w:rPr>
                <w:b/>
                <w:color w:val="000000"/>
                <w:lang w:val="en-US"/>
              </w:rPr>
              <w:t>0,02</w:t>
            </w:r>
            <w:r w:rsidR="007D6986">
              <w:rPr>
                <w:b/>
                <w:color w:val="000000"/>
                <w:lang w:val="en-US"/>
              </w:rPr>
              <w:t>13</w:t>
            </w:r>
          </w:p>
        </w:tc>
      </w:tr>
    </w:tbl>
    <w:p w14:paraId="1D0A5983" w14:textId="77777777" w:rsidR="005C72D5" w:rsidRPr="0069281C" w:rsidRDefault="005C72D5">
      <w:pPr>
        <w:rPr>
          <w:lang w:val="en-US"/>
        </w:rPr>
      </w:pPr>
    </w:p>
    <w:p w14:paraId="694BEFE1" w14:textId="13EF0168" w:rsidR="0048352D" w:rsidRPr="0069281C" w:rsidRDefault="008B429A">
      <w:pPr>
        <w:rPr>
          <w:lang w:val="en-US"/>
        </w:rPr>
      </w:pPr>
      <w:r w:rsidRPr="0069281C">
        <w:rPr>
          <w:b/>
          <w:lang w:val="en-US"/>
        </w:rPr>
        <w:t>Protein reaction:</w:t>
      </w:r>
      <w:r w:rsidRPr="0069281C">
        <w:rPr>
          <w:b/>
          <w:lang w:val="en-US"/>
        </w:rPr>
        <w:br/>
      </w:r>
      <w:r w:rsidR="00C5764A" w:rsidRPr="00C5764A">
        <w:rPr>
          <w:lang w:val="en-US"/>
        </w:rPr>
        <w:t xml:space="preserve">0.306 </w:t>
      </w:r>
      <w:proofErr w:type="spellStart"/>
      <w:r w:rsidR="00C5764A" w:rsidRPr="00C5764A">
        <w:rPr>
          <w:lang w:val="en-US"/>
        </w:rPr>
        <w:t>atp_c</w:t>
      </w:r>
      <w:proofErr w:type="spellEnd"/>
      <w:r w:rsidR="00C5764A" w:rsidRPr="00C5764A">
        <w:rPr>
          <w:lang w:val="en-US"/>
        </w:rPr>
        <w:t xml:space="preserve"> + 2 </w:t>
      </w:r>
      <w:proofErr w:type="spellStart"/>
      <w:r w:rsidR="00C5764A" w:rsidRPr="00C5764A">
        <w:rPr>
          <w:lang w:val="en-US"/>
        </w:rPr>
        <w:t>gtp_c</w:t>
      </w:r>
      <w:proofErr w:type="spellEnd"/>
      <w:r w:rsidR="00C5764A" w:rsidRPr="00C5764A">
        <w:rPr>
          <w:lang w:val="en-US"/>
        </w:rPr>
        <w:t xml:space="preserve"> + 2.306 h2o_c + </w:t>
      </w:r>
      <w:r w:rsidR="005D091A" w:rsidRPr="0069281C">
        <w:rPr>
          <w:lang w:val="en-US"/>
        </w:rPr>
        <w:t xml:space="preserve">0.0062 </w:t>
      </w:r>
      <w:proofErr w:type="spellStart"/>
      <w:r w:rsidR="005D091A" w:rsidRPr="0069281C">
        <w:rPr>
          <w:lang w:val="en-US"/>
        </w:rPr>
        <w:t>alatrna_c</w:t>
      </w:r>
      <w:proofErr w:type="spellEnd"/>
      <w:r w:rsidR="005D091A" w:rsidRPr="0069281C">
        <w:rPr>
          <w:lang w:val="en-US"/>
        </w:rPr>
        <w:t xml:space="preserve"> + 0.0412 </w:t>
      </w:r>
      <w:proofErr w:type="spellStart"/>
      <w:r w:rsidR="005D091A" w:rsidRPr="0069281C">
        <w:rPr>
          <w:lang w:val="en-US"/>
        </w:rPr>
        <w:t>argtrna_c</w:t>
      </w:r>
      <w:proofErr w:type="spellEnd"/>
      <w:r w:rsidR="005D091A" w:rsidRPr="0069281C">
        <w:rPr>
          <w:lang w:val="en-US"/>
        </w:rPr>
        <w:t xml:space="preserve"> + 0.0775 </w:t>
      </w:r>
      <w:proofErr w:type="spellStart"/>
      <w:r w:rsidR="005D091A" w:rsidRPr="0069281C">
        <w:rPr>
          <w:lang w:val="en-US"/>
        </w:rPr>
        <w:t>asntrna_c</w:t>
      </w:r>
      <w:proofErr w:type="spellEnd"/>
      <w:r w:rsidR="005D091A" w:rsidRPr="0069281C">
        <w:rPr>
          <w:lang w:val="en-US"/>
        </w:rPr>
        <w:t xml:space="preserve"> + 0.0775 </w:t>
      </w:r>
      <w:proofErr w:type="spellStart"/>
      <w:r w:rsidR="005D091A" w:rsidRPr="0069281C">
        <w:rPr>
          <w:lang w:val="en-US"/>
        </w:rPr>
        <w:t>asptrna_c</w:t>
      </w:r>
      <w:proofErr w:type="spellEnd"/>
      <w:r w:rsidR="005D091A" w:rsidRPr="0069281C">
        <w:rPr>
          <w:lang w:val="en-US"/>
        </w:rPr>
        <w:t xml:space="preserve"> + 0.0096 </w:t>
      </w:r>
      <w:proofErr w:type="spellStart"/>
      <w:r w:rsidR="005D091A" w:rsidRPr="0069281C">
        <w:rPr>
          <w:lang w:val="en-US"/>
        </w:rPr>
        <w:t>cystrna_c</w:t>
      </w:r>
      <w:proofErr w:type="spellEnd"/>
      <w:r w:rsidR="005D091A" w:rsidRPr="0069281C">
        <w:rPr>
          <w:lang w:val="en-US"/>
        </w:rPr>
        <w:t xml:space="preserve"> + 0.0721 </w:t>
      </w:r>
      <w:proofErr w:type="spellStart"/>
      <w:r w:rsidR="005D091A" w:rsidRPr="0069281C">
        <w:rPr>
          <w:lang w:val="en-US"/>
        </w:rPr>
        <w:t>glntrna_c</w:t>
      </w:r>
      <w:proofErr w:type="spellEnd"/>
      <w:r w:rsidR="005D091A" w:rsidRPr="0069281C">
        <w:rPr>
          <w:lang w:val="en-US"/>
        </w:rPr>
        <w:t xml:space="preserve"> + 0.0189 </w:t>
      </w:r>
      <w:proofErr w:type="spellStart"/>
      <w:r w:rsidR="005D091A" w:rsidRPr="0069281C">
        <w:rPr>
          <w:lang w:val="en-US"/>
        </w:rPr>
        <w:t>glutrna_c</w:t>
      </w:r>
      <w:proofErr w:type="spellEnd"/>
      <w:r w:rsidR="005D091A" w:rsidRPr="0069281C">
        <w:rPr>
          <w:lang w:val="en-US"/>
        </w:rPr>
        <w:t xml:space="preserve"> + 0.1068 </w:t>
      </w:r>
      <w:proofErr w:type="spellStart"/>
      <w:r w:rsidR="005D091A" w:rsidRPr="0069281C">
        <w:rPr>
          <w:lang w:val="en-US"/>
        </w:rPr>
        <w:t>glytrna_c</w:t>
      </w:r>
      <w:proofErr w:type="spellEnd"/>
      <w:r w:rsidR="005D091A" w:rsidRPr="0069281C">
        <w:rPr>
          <w:lang w:val="en-US"/>
        </w:rPr>
        <w:t xml:space="preserve"> + 0.0211 </w:t>
      </w:r>
      <w:proofErr w:type="spellStart"/>
      <w:r w:rsidR="005D091A" w:rsidRPr="0069281C">
        <w:rPr>
          <w:lang w:val="en-US"/>
        </w:rPr>
        <w:t>histrna_c</w:t>
      </w:r>
      <w:proofErr w:type="spellEnd"/>
      <w:r w:rsidR="005D091A" w:rsidRPr="0069281C">
        <w:rPr>
          <w:lang w:val="en-US"/>
        </w:rPr>
        <w:t xml:space="preserve"> + 0.0578 </w:t>
      </w:r>
      <w:proofErr w:type="spellStart"/>
      <w:r w:rsidR="005D091A" w:rsidRPr="0069281C">
        <w:rPr>
          <w:lang w:val="en-US"/>
        </w:rPr>
        <w:t>iletrna_c</w:t>
      </w:r>
      <w:proofErr w:type="spellEnd"/>
      <w:r w:rsidR="005D091A" w:rsidRPr="0069281C">
        <w:rPr>
          <w:lang w:val="en-US"/>
        </w:rPr>
        <w:t xml:space="preserve"> + 0.0857 </w:t>
      </w:r>
      <w:proofErr w:type="spellStart"/>
      <w:r w:rsidR="005D091A" w:rsidRPr="0069281C">
        <w:rPr>
          <w:lang w:val="en-US"/>
        </w:rPr>
        <w:t>leutrna_c</w:t>
      </w:r>
      <w:proofErr w:type="spellEnd"/>
      <w:r w:rsidR="005D091A" w:rsidRPr="0069281C">
        <w:rPr>
          <w:lang w:val="en-US"/>
        </w:rPr>
        <w:t xml:space="preserve"> + 0.0986 </w:t>
      </w:r>
      <w:proofErr w:type="spellStart"/>
      <w:r w:rsidR="005D091A" w:rsidRPr="0069281C">
        <w:rPr>
          <w:lang w:val="en-US"/>
        </w:rPr>
        <w:t>lystrna_c</w:t>
      </w:r>
      <w:proofErr w:type="spellEnd"/>
      <w:r w:rsidR="005D091A" w:rsidRPr="0069281C">
        <w:rPr>
          <w:lang w:val="en-US"/>
        </w:rPr>
        <w:t xml:space="preserve"> + 0.0272 </w:t>
      </w:r>
      <w:proofErr w:type="spellStart"/>
      <w:r w:rsidR="005D091A" w:rsidRPr="0069281C">
        <w:rPr>
          <w:lang w:val="en-US"/>
        </w:rPr>
        <w:t>mettrna_c</w:t>
      </w:r>
      <w:proofErr w:type="spellEnd"/>
      <w:r w:rsidR="005D091A" w:rsidRPr="0069281C">
        <w:rPr>
          <w:lang w:val="en-US"/>
        </w:rPr>
        <w:t xml:space="preserve"> + </w:t>
      </w:r>
      <w:r w:rsidR="005D091A" w:rsidRPr="0069281C">
        <w:rPr>
          <w:lang w:val="en-US"/>
        </w:rPr>
        <w:lastRenderedPageBreak/>
        <w:t xml:space="preserve">0.0329 </w:t>
      </w:r>
      <w:proofErr w:type="spellStart"/>
      <w:r w:rsidR="005D091A" w:rsidRPr="0069281C">
        <w:rPr>
          <w:lang w:val="en-US"/>
        </w:rPr>
        <w:t>phetrna_c</w:t>
      </w:r>
      <w:proofErr w:type="spellEnd"/>
      <w:r w:rsidR="005D091A" w:rsidRPr="0069281C">
        <w:rPr>
          <w:lang w:val="en-US"/>
        </w:rPr>
        <w:t xml:space="preserve"> + 0.0404 </w:t>
      </w:r>
      <w:proofErr w:type="spellStart"/>
      <w:r w:rsidR="005D091A" w:rsidRPr="0069281C">
        <w:rPr>
          <w:lang w:val="en-US"/>
        </w:rPr>
        <w:t>protrna_c</w:t>
      </w:r>
      <w:proofErr w:type="spellEnd"/>
      <w:r w:rsidR="005D091A" w:rsidRPr="0069281C">
        <w:rPr>
          <w:lang w:val="en-US"/>
        </w:rPr>
        <w:t xml:space="preserve"> + 0.0548 </w:t>
      </w:r>
      <w:proofErr w:type="spellStart"/>
      <w:r w:rsidR="005D091A" w:rsidRPr="0069281C">
        <w:rPr>
          <w:lang w:val="en-US"/>
        </w:rPr>
        <w:t>sertrna_c</w:t>
      </w:r>
      <w:proofErr w:type="spellEnd"/>
      <w:r w:rsidR="005D091A" w:rsidRPr="0069281C">
        <w:rPr>
          <w:lang w:val="en-US"/>
        </w:rPr>
        <w:t xml:space="preserve"> + 0.0650 </w:t>
      </w:r>
      <w:proofErr w:type="spellStart"/>
      <w:r w:rsidR="005D091A" w:rsidRPr="0069281C">
        <w:rPr>
          <w:lang w:val="en-US"/>
        </w:rPr>
        <w:t>thrtrna_c</w:t>
      </w:r>
      <w:proofErr w:type="spellEnd"/>
      <w:r w:rsidR="005D091A" w:rsidRPr="0069281C">
        <w:rPr>
          <w:lang w:val="en-US"/>
        </w:rPr>
        <w:t xml:space="preserve"> + 0.0070 </w:t>
      </w:r>
      <w:proofErr w:type="spellStart"/>
      <w:r w:rsidR="005D091A" w:rsidRPr="0069281C">
        <w:rPr>
          <w:lang w:val="en-US"/>
        </w:rPr>
        <w:t>trptrna_c</w:t>
      </w:r>
      <w:proofErr w:type="spellEnd"/>
      <w:r w:rsidR="005D091A" w:rsidRPr="0069281C">
        <w:rPr>
          <w:lang w:val="en-US"/>
        </w:rPr>
        <w:t xml:space="preserve"> + 0.0284 </w:t>
      </w:r>
      <w:proofErr w:type="spellStart"/>
      <w:r w:rsidR="005D091A" w:rsidRPr="0069281C">
        <w:rPr>
          <w:lang w:val="en-US"/>
        </w:rPr>
        <w:t>tyrtrna_c</w:t>
      </w:r>
      <w:proofErr w:type="spellEnd"/>
      <w:r w:rsidR="005D091A" w:rsidRPr="0069281C">
        <w:rPr>
          <w:lang w:val="en-US"/>
        </w:rPr>
        <w:t xml:space="preserve"> + 0.0711 </w:t>
      </w:r>
      <w:proofErr w:type="spellStart"/>
      <w:r w:rsidR="005D091A" w:rsidRPr="0069281C">
        <w:rPr>
          <w:lang w:val="en-US"/>
        </w:rPr>
        <w:t>valtrna_c</w:t>
      </w:r>
      <w:proofErr w:type="spellEnd"/>
      <w:r w:rsidR="005D091A" w:rsidRPr="0069281C">
        <w:rPr>
          <w:lang w:val="en-US"/>
        </w:rPr>
        <w:t xml:space="preserve"> --&gt; </w:t>
      </w:r>
      <w:proofErr w:type="spellStart"/>
      <w:r w:rsidR="005D091A" w:rsidRPr="0069281C">
        <w:rPr>
          <w:lang w:val="en-US"/>
        </w:rPr>
        <w:t>PROT_LRE_c</w:t>
      </w:r>
      <w:proofErr w:type="spellEnd"/>
      <w:r w:rsidR="005D091A" w:rsidRPr="0069281C">
        <w:rPr>
          <w:lang w:val="en-US"/>
        </w:rPr>
        <w:t xml:space="preserve"> + 0.306 </w:t>
      </w:r>
      <w:proofErr w:type="spellStart"/>
      <w:r w:rsidR="005D091A" w:rsidRPr="0069281C">
        <w:rPr>
          <w:lang w:val="en-US"/>
        </w:rPr>
        <w:t>adp_c</w:t>
      </w:r>
      <w:proofErr w:type="spellEnd"/>
      <w:r w:rsidR="005D091A" w:rsidRPr="0069281C">
        <w:rPr>
          <w:lang w:val="en-US"/>
        </w:rPr>
        <w:t xml:space="preserve"> + 2.0 </w:t>
      </w:r>
      <w:proofErr w:type="spellStart"/>
      <w:r w:rsidR="005D091A" w:rsidRPr="0069281C">
        <w:rPr>
          <w:lang w:val="en-US"/>
        </w:rPr>
        <w:t>gdp_c</w:t>
      </w:r>
      <w:proofErr w:type="spellEnd"/>
      <w:r w:rsidR="005D091A" w:rsidRPr="0069281C">
        <w:rPr>
          <w:lang w:val="en-US"/>
        </w:rPr>
        <w:t xml:space="preserve"> + 2.306 </w:t>
      </w:r>
      <w:proofErr w:type="spellStart"/>
      <w:r w:rsidR="005D091A" w:rsidRPr="0069281C">
        <w:rPr>
          <w:lang w:val="en-US"/>
        </w:rPr>
        <w:t>h_c</w:t>
      </w:r>
      <w:proofErr w:type="spellEnd"/>
      <w:r w:rsidR="005D091A" w:rsidRPr="0069281C">
        <w:rPr>
          <w:lang w:val="en-US"/>
        </w:rPr>
        <w:t xml:space="preserve"> + 2.306 </w:t>
      </w:r>
      <w:proofErr w:type="spellStart"/>
      <w:r w:rsidR="005D091A" w:rsidRPr="0069281C">
        <w:rPr>
          <w:lang w:val="en-US"/>
        </w:rPr>
        <w:t>pi_c</w:t>
      </w:r>
      <w:proofErr w:type="spellEnd"/>
      <w:r w:rsidR="005D091A" w:rsidRPr="0069281C">
        <w:rPr>
          <w:lang w:val="en-US"/>
        </w:rPr>
        <w:t xml:space="preserve"> + 0.0062 </w:t>
      </w:r>
      <w:proofErr w:type="spellStart"/>
      <w:r w:rsidR="005D091A" w:rsidRPr="0069281C">
        <w:rPr>
          <w:lang w:val="en-US"/>
        </w:rPr>
        <w:t>trnaala_c</w:t>
      </w:r>
      <w:proofErr w:type="spellEnd"/>
      <w:r w:rsidR="005D091A" w:rsidRPr="0069281C">
        <w:rPr>
          <w:lang w:val="en-US"/>
        </w:rPr>
        <w:t xml:space="preserve"> + 0.0412 </w:t>
      </w:r>
      <w:proofErr w:type="spellStart"/>
      <w:r w:rsidR="005D091A" w:rsidRPr="0069281C">
        <w:rPr>
          <w:lang w:val="en-US"/>
        </w:rPr>
        <w:t>trnaarg_c</w:t>
      </w:r>
      <w:proofErr w:type="spellEnd"/>
      <w:r w:rsidR="005D091A" w:rsidRPr="0069281C">
        <w:rPr>
          <w:lang w:val="en-US"/>
        </w:rPr>
        <w:t xml:space="preserve"> + 0.0775 </w:t>
      </w:r>
      <w:proofErr w:type="spellStart"/>
      <w:r w:rsidR="005D091A" w:rsidRPr="0069281C">
        <w:rPr>
          <w:lang w:val="en-US"/>
        </w:rPr>
        <w:t>trnaasn_c</w:t>
      </w:r>
      <w:proofErr w:type="spellEnd"/>
      <w:r w:rsidR="005D091A" w:rsidRPr="0069281C">
        <w:rPr>
          <w:lang w:val="en-US"/>
        </w:rPr>
        <w:t xml:space="preserve"> + 0.0775 </w:t>
      </w:r>
      <w:proofErr w:type="spellStart"/>
      <w:r w:rsidR="005D091A" w:rsidRPr="0069281C">
        <w:rPr>
          <w:lang w:val="en-US"/>
        </w:rPr>
        <w:t>trnaasp_c</w:t>
      </w:r>
      <w:proofErr w:type="spellEnd"/>
      <w:r w:rsidR="005D091A" w:rsidRPr="0069281C">
        <w:rPr>
          <w:lang w:val="en-US"/>
        </w:rPr>
        <w:t xml:space="preserve"> + 0.0096 </w:t>
      </w:r>
      <w:proofErr w:type="spellStart"/>
      <w:r w:rsidR="005D091A" w:rsidRPr="0069281C">
        <w:rPr>
          <w:lang w:val="en-US"/>
        </w:rPr>
        <w:t>trnacys_c</w:t>
      </w:r>
      <w:proofErr w:type="spellEnd"/>
      <w:r w:rsidR="005D091A" w:rsidRPr="0069281C">
        <w:rPr>
          <w:lang w:val="en-US"/>
        </w:rPr>
        <w:t xml:space="preserve"> + 0.0910 </w:t>
      </w:r>
      <w:proofErr w:type="spellStart"/>
      <w:r w:rsidR="005D091A" w:rsidRPr="0069281C">
        <w:rPr>
          <w:lang w:val="en-US"/>
        </w:rPr>
        <w:t>trnaglu_c</w:t>
      </w:r>
      <w:proofErr w:type="spellEnd"/>
      <w:r w:rsidR="005D091A" w:rsidRPr="0069281C">
        <w:rPr>
          <w:lang w:val="en-US"/>
        </w:rPr>
        <w:t xml:space="preserve"> + 0.1068 </w:t>
      </w:r>
      <w:proofErr w:type="spellStart"/>
      <w:r w:rsidR="005D091A" w:rsidRPr="0069281C">
        <w:rPr>
          <w:lang w:val="en-US"/>
        </w:rPr>
        <w:t>trnagly_c</w:t>
      </w:r>
      <w:proofErr w:type="spellEnd"/>
      <w:r w:rsidR="005D091A" w:rsidRPr="0069281C">
        <w:rPr>
          <w:lang w:val="en-US"/>
        </w:rPr>
        <w:t xml:space="preserve"> + 0.0211 </w:t>
      </w:r>
      <w:proofErr w:type="spellStart"/>
      <w:r w:rsidR="005D091A" w:rsidRPr="0069281C">
        <w:rPr>
          <w:lang w:val="en-US"/>
        </w:rPr>
        <w:t>trnahis_c</w:t>
      </w:r>
      <w:proofErr w:type="spellEnd"/>
      <w:r w:rsidR="005D091A" w:rsidRPr="0069281C">
        <w:rPr>
          <w:lang w:val="en-US"/>
        </w:rPr>
        <w:t xml:space="preserve"> + 0.0578 </w:t>
      </w:r>
      <w:proofErr w:type="spellStart"/>
      <w:r w:rsidR="005D091A" w:rsidRPr="0069281C">
        <w:rPr>
          <w:lang w:val="en-US"/>
        </w:rPr>
        <w:t>trnaile_c</w:t>
      </w:r>
      <w:proofErr w:type="spellEnd"/>
      <w:r w:rsidR="005D091A" w:rsidRPr="0069281C">
        <w:rPr>
          <w:lang w:val="en-US"/>
        </w:rPr>
        <w:t xml:space="preserve"> + 0.0857 </w:t>
      </w:r>
      <w:proofErr w:type="spellStart"/>
      <w:r w:rsidR="005D091A" w:rsidRPr="0069281C">
        <w:rPr>
          <w:lang w:val="en-US"/>
        </w:rPr>
        <w:t>trnaleu_c</w:t>
      </w:r>
      <w:proofErr w:type="spellEnd"/>
      <w:r w:rsidR="005D091A" w:rsidRPr="0069281C">
        <w:rPr>
          <w:lang w:val="en-US"/>
        </w:rPr>
        <w:t xml:space="preserve"> + 0.0986 </w:t>
      </w:r>
      <w:proofErr w:type="spellStart"/>
      <w:r w:rsidR="005D091A" w:rsidRPr="0069281C">
        <w:rPr>
          <w:lang w:val="en-US"/>
        </w:rPr>
        <w:t>trnalys_c</w:t>
      </w:r>
      <w:proofErr w:type="spellEnd"/>
      <w:r w:rsidR="005D091A" w:rsidRPr="0069281C">
        <w:rPr>
          <w:lang w:val="en-US"/>
        </w:rPr>
        <w:t xml:space="preserve"> + 0.0272 </w:t>
      </w:r>
      <w:proofErr w:type="spellStart"/>
      <w:r w:rsidR="005D091A" w:rsidRPr="0069281C">
        <w:rPr>
          <w:lang w:val="en-US"/>
        </w:rPr>
        <w:t>trnamet_c</w:t>
      </w:r>
      <w:proofErr w:type="spellEnd"/>
      <w:r w:rsidR="005D091A" w:rsidRPr="0069281C">
        <w:rPr>
          <w:lang w:val="en-US"/>
        </w:rPr>
        <w:t xml:space="preserve"> + 0.0329 </w:t>
      </w:r>
      <w:proofErr w:type="spellStart"/>
      <w:r w:rsidR="005D091A" w:rsidRPr="0069281C">
        <w:rPr>
          <w:lang w:val="en-US"/>
        </w:rPr>
        <w:t>trnaphe_c</w:t>
      </w:r>
      <w:proofErr w:type="spellEnd"/>
      <w:r w:rsidR="005D091A" w:rsidRPr="0069281C">
        <w:rPr>
          <w:lang w:val="en-US"/>
        </w:rPr>
        <w:t xml:space="preserve"> + 0.0404 </w:t>
      </w:r>
      <w:proofErr w:type="spellStart"/>
      <w:r w:rsidR="005D091A" w:rsidRPr="0069281C">
        <w:rPr>
          <w:lang w:val="en-US"/>
        </w:rPr>
        <w:t>trnapro_c</w:t>
      </w:r>
      <w:proofErr w:type="spellEnd"/>
      <w:r w:rsidR="005D091A" w:rsidRPr="0069281C">
        <w:rPr>
          <w:lang w:val="en-US"/>
        </w:rPr>
        <w:t xml:space="preserve"> + 0.0548 </w:t>
      </w:r>
      <w:proofErr w:type="spellStart"/>
      <w:r w:rsidR="005D091A" w:rsidRPr="0069281C">
        <w:rPr>
          <w:lang w:val="en-US"/>
        </w:rPr>
        <w:t>trnaser_c</w:t>
      </w:r>
      <w:proofErr w:type="spellEnd"/>
      <w:r w:rsidR="005D091A" w:rsidRPr="0069281C">
        <w:rPr>
          <w:lang w:val="en-US"/>
        </w:rPr>
        <w:t xml:space="preserve"> + 0.0650 </w:t>
      </w:r>
      <w:proofErr w:type="spellStart"/>
      <w:r w:rsidR="005D091A" w:rsidRPr="0069281C">
        <w:rPr>
          <w:lang w:val="en-US"/>
        </w:rPr>
        <w:t>trnathr_c</w:t>
      </w:r>
      <w:proofErr w:type="spellEnd"/>
      <w:r w:rsidR="005D091A" w:rsidRPr="0069281C">
        <w:rPr>
          <w:lang w:val="en-US"/>
        </w:rPr>
        <w:t xml:space="preserve"> + 0.0070 </w:t>
      </w:r>
      <w:proofErr w:type="spellStart"/>
      <w:r w:rsidR="005D091A" w:rsidRPr="0069281C">
        <w:rPr>
          <w:lang w:val="en-US"/>
        </w:rPr>
        <w:t>trnatrp_c</w:t>
      </w:r>
      <w:proofErr w:type="spellEnd"/>
      <w:r w:rsidR="005D091A" w:rsidRPr="0069281C">
        <w:rPr>
          <w:lang w:val="en-US"/>
        </w:rPr>
        <w:t xml:space="preserve"> + 0.0284 </w:t>
      </w:r>
      <w:proofErr w:type="spellStart"/>
      <w:r w:rsidR="005D091A" w:rsidRPr="0069281C">
        <w:rPr>
          <w:lang w:val="en-US"/>
        </w:rPr>
        <w:t>trnatyr_c</w:t>
      </w:r>
      <w:proofErr w:type="spellEnd"/>
      <w:r w:rsidR="005D091A" w:rsidRPr="0069281C">
        <w:rPr>
          <w:lang w:val="en-US"/>
        </w:rPr>
        <w:t xml:space="preserve"> + 0.0711 </w:t>
      </w:r>
      <w:proofErr w:type="spellStart"/>
      <w:r w:rsidR="005D091A" w:rsidRPr="0069281C">
        <w:rPr>
          <w:lang w:val="en-US"/>
        </w:rPr>
        <w:t>trnaval_c</w:t>
      </w:r>
      <w:proofErr w:type="spellEnd"/>
    </w:p>
    <w:p w14:paraId="42CE09F7" w14:textId="50084BAC" w:rsidR="006A5F90" w:rsidRPr="0069281C" w:rsidRDefault="006A5F90">
      <w:pPr>
        <w:rPr>
          <w:b/>
          <w:sz w:val="24"/>
          <w:lang w:val="en-US"/>
        </w:rPr>
      </w:pPr>
      <w:r w:rsidRPr="0069281C">
        <w:rPr>
          <w:b/>
          <w:sz w:val="24"/>
          <w:lang w:val="en-US"/>
        </w:rPr>
        <w:t>DNA</w:t>
      </w:r>
    </w:p>
    <w:p w14:paraId="75612D0E" w14:textId="77777777" w:rsidR="007C1B4A" w:rsidRPr="0069281C" w:rsidRDefault="007C1B4A">
      <w:pPr>
        <w:rPr>
          <w:lang w:val="en-US"/>
        </w:rPr>
      </w:pPr>
      <w:r w:rsidRPr="0069281C">
        <w:rPr>
          <w:lang w:val="en-US"/>
        </w:rPr>
        <w:t>Calculated from JCM1112 genome</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8"/>
        <w:gridCol w:w="1540"/>
        <w:gridCol w:w="1497"/>
        <w:gridCol w:w="2199"/>
      </w:tblGrid>
      <w:tr w:rsidR="00E70851" w:rsidRPr="0069281C" w14:paraId="0D6D657B" w14:textId="77777777" w:rsidTr="00E70851">
        <w:trPr>
          <w:trHeight w:val="300"/>
        </w:trPr>
        <w:tc>
          <w:tcPr>
            <w:tcW w:w="1138" w:type="dxa"/>
            <w:shd w:val="clear" w:color="auto" w:fill="auto"/>
            <w:noWrap/>
            <w:vAlign w:val="center"/>
          </w:tcPr>
          <w:p w14:paraId="2C0A7A9B" w14:textId="77777777" w:rsidR="00E70851" w:rsidRPr="0069281C" w:rsidRDefault="00E70851" w:rsidP="00E70851">
            <w:pPr>
              <w:pStyle w:val="NoSpacing"/>
              <w:rPr>
                <w:b/>
                <w:lang w:val="en-US" w:eastAsia="is-IS"/>
              </w:rPr>
            </w:pPr>
            <w:r w:rsidRPr="0069281C">
              <w:rPr>
                <w:b/>
                <w:lang w:val="en-US" w:eastAsia="is-IS"/>
              </w:rPr>
              <w:t>Nucleotide</w:t>
            </w:r>
          </w:p>
        </w:tc>
        <w:tc>
          <w:tcPr>
            <w:tcW w:w="1540" w:type="dxa"/>
            <w:shd w:val="clear" w:color="auto" w:fill="auto"/>
            <w:noWrap/>
            <w:vAlign w:val="center"/>
          </w:tcPr>
          <w:p w14:paraId="290E645A" w14:textId="77777777" w:rsidR="00E70851" w:rsidRPr="0069281C" w:rsidRDefault="00E70851" w:rsidP="00E70851">
            <w:pPr>
              <w:pStyle w:val="NoSpacing"/>
              <w:rPr>
                <w:b/>
                <w:lang w:val="en-US" w:eastAsia="is-IS"/>
              </w:rPr>
            </w:pPr>
            <w:r w:rsidRPr="0069281C">
              <w:rPr>
                <w:b/>
                <w:lang w:val="en-US" w:eastAsia="is-IS"/>
              </w:rPr>
              <w:t>Ratio</w:t>
            </w:r>
          </w:p>
        </w:tc>
        <w:tc>
          <w:tcPr>
            <w:tcW w:w="1497" w:type="dxa"/>
          </w:tcPr>
          <w:p w14:paraId="282C9495" w14:textId="77777777" w:rsidR="00E70851" w:rsidRPr="0069281C" w:rsidRDefault="00E70851" w:rsidP="00E70851">
            <w:pPr>
              <w:pStyle w:val="NoSpacing"/>
              <w:rPr>
                <w:b/>
                <w:lang w:val="en-US" w:eastAsia="is-IS"/>
              </w:rPr>
            </w:pPr>
            <w:r w:rsidRPr="0069281C">
              <w:rPr>
                <w:b/>
                <w:lang w:val="en-US" w:eastAsia="is-IS"/>
              </w:rPr>
              <w:t>MW (g mol</w:t>
            </w:r>
            <w:r w:rsidRPr="0069281C">
              <w:rPr>
                <w:b/>
                <w:vertAlign w:val="superscript"/>
                <w:lang w:val="en-US" w:eastAsia="is-IS"/>
              </w:rPr>
              <w:t>-1</w:t>
            </w:r>
            <w:r w:rsidRPr="0069281C">
              <w:rPr>
                <w:b/>
                <w:lang w:val="en-US" w:eastAsia="is-IS"/>
              </w:rPr>
              <w:t>)</w:t>
            </w:r>
          </w:p>
        </w:tc>
        <w:tc>
          <w:tcPr>
            <w:tcW w:w="2199" w:type="dxa"/>
          </w:tcPr>
          <w:p w14:paraId="514CE155" w14:textId="77777777" w:rsidR="00E70851" w:rsidRPr="0069281C" w:rsidRDefault="00E70851" w:rsidP="00E70851">
            <w:pPr>
              <w:pStyle w:val="NoSpacing"/>
              <w:rPr>
                <w:b/>
                <w:lang w:val="en-US" w:eastAsia="is-IS"/>
              </w:rPr>
            </w:pPr>
            <w:r w:rsidRPr="0069281C">
              <w:rPr>
                <w:b/>
                <w:lang w:val="en-US" w:eastAsia="is-IS"/>
              </w:rPr>
              <w:t>MW * Ratio (g mol</w:t>
            </w:r>
            <w:r w:rsidRPr="0069281C">
              <w:rPr>
                <w:b/>
                <w:vertAlign w:val="superscript"/>
                <w:lang w:val="en-US" w:eastAsia="is-IS"/>
              </w:rPr>
              <w:t>-1</w:t>
            </w:r>
            <w:r w:rsidRPr="0069281C">
              <w:rPr>
                <w:b/>
                <w:lang w:val="en-US" w:eastAsia="is-IS"/>
              </w:rPr>
              <w:t>)</w:t>
            </w:r>
          </w:p>
        </w:tc>
      </w:tr>
      <w:tr w:rsidR="00E70851" w:rsidRPr="0069281C" w14:paraId="3AC9872D" w14:textId="77777777" w:rsidTr="00E70851">
        <w:trPr>
          <w:trHeight w:val="300"/>
        </w:trPr>
        <w:tc>
          <w:tcPr>
            <w:tcW w:w="1138" w:type="dxa"/>
            <w:tcBorders>
              <w:top w:val="single" w:sz="4" w:space="0" w:color="auto"/>
              <w:bottom w:val="single" w:sz="4" w:space="0" w:color="auto"/>
            </w:tcBorders>
            <w:shd w:val="clear" w:color="auto" w:fill="auto"/>
            <w:noWrap/>
            <w:vAlign w:val="bottom"/>
            <w:hideMark/>
          </w:tcPr>
          <w:p w14:paraId="38DACCDE" w14:textId="77777777" w:rsidR="00E70851" w:rsidRPr="0069281C" w:rsidRDefault="00E70851" w:rsidP="00E70851">
            <w:pPr>
              <w:pStyle w:val="NoSpacing"/>
              <w:rPr>
                <w:lang w:val="en-US" w:eastAsia="is-IS"/>
              </w:rPr>
            </w:pPr>
            <w:proofErr w:type="spellStart"/>
            <w:r w:rsidRPr="0069281C">
              <w:rPr>
                <w:lang w:val="en-US" w:eastAsia="is-IS"/>
              </w:rPr>
              <w:t>dAMP</w:t>
            </w:r>
            <w:proofErr w:type="spellEnd"/>
          </w:p>
        </w:tc>
        <w:tc>
          <w:tcPr>
            <w:tcW w:w="1540" w:type="dxa"/>
            <w:tcBorders>
              <w:top w:val="single" w:sz="4" w:space="0" w:color="auto"/>
              <w:bottom w:val="single" w:sz="4" w:space="0" w:color="auto"/>
            </w:tcBorders>
            <w:shd w:val="clear" w:color="auto" w:fill="auto"/>
            <w:noWrap/>
            <w:vAlign w:val="bottom"/>
            <w:hideMark/>
          </w:tcPr>
          <w:p w14:paraId="3CF2286E" w14:textId="77777777" w:rsidR="00E70851" w:rsidRPr="0069281C" w:rsidRDefault="00E70851" w:rsidP="00E70851">
            <w:pPr>
              <w:pStyle w:val="NoSpacing"/>
              <w:rPr>
                <w:lang w:val="en-US" w:eastAsia="is-IS"/>
              </w:rPr>
            </w:pPr>
            <w:r w:rsidRPr="0069281C">
              <w:rPr>
                <w:lang w:val="en-US" w:eastAsia="is-IS"/>
              </w:rPr>
              <w:t>0,30560617</w:t>
            </w:r>
          </w:p>
        </w:tc>
        <w:tc>
          <w:tcPr>
            <w:tcW w:w="1497" w:type="dxa"/>
            <w:tcBorders>
              <w:top w:val="single" w:sz="4" w:space="0" w:color="auto"/>
              <w:bottom w:val="single" w:sz="4" w:space="0" w:color="auto"/>
            </w:tcBorders>
          </w:tcPr>
          <w:p w14:paraId="3105DE40" w14:textId="77777777" w:rsidR="00E70851" w:rsidRPr="0069281C" w:rsidRDefault="00E70851" w:rsidP="00E70851">
            <w:pPr>
              <w:pStyle w:val="NoSpacing"/>
              <w:rPr>
                <w:lang w:val="en-US" w:eastAsia="is-IS"/>
              </w:rPr>
            </w:pPr>
            <w:r w:rsidRPr="0069281C">
              <w:rPr>
                <w:lang w:val="en-US" w:eastAsia="is-IS"/>
              </w:rPr>
              <w:t>331,2</w:t>
            </w:r>
          </w:p>
        </w:tc>
        <w:tc>
          <w:tcPr>
            <w:tcW w:w="2199" w:type="dxa"/>
            <w:tcBorders>
              <w:top w:val="single" w:sz="4" w:space="0" w:color="auto"/>
              <w:left w:val="nil"/>
              <w:bottom w:val="single" w:sz="4" w:space="0" w:color="auto"/>
              <w:right w:val="single" w:sz="4" w:space="0" w:color="auto"/>
            </w:tcBorders>
            <w:shd w:val="clear" w:color="auto" w:fill="auto"/>
            <w:vAlign w:val="bottom"/>
          </w:tcPr>
          <w:p w14:paraId="492C125E" w14:textId="77777777" w:rsidR="00E70851" w:rsidRPr="0069281C" w:rsidRDefault="007B31B2" w:rsidP="00E70851">
            <w:pPr>
              <w:pStyle w:val="NoSpacing"/>
              <w:rPr>
                <w:lang w:val="en-US"/>
              </w:rPr>
            </w:pPr>
            <w:r w:rsidRPr="0069281C">
              <w:rPr>
                <w:lang w:val="en-US"/>
              </w:rPr>
              <w:t>101,2</w:t>
            </w:r>
          </w:p>
        </w:tc>
      </w:tr>
      <w:tr w:rsidR="00E70851" w:rsidRPr="0069281C" w14:paraId="2CBBC6C4" w14:textId="77777777" w:rsidTr="00E70851">
        <w:trPr>
          <w:trHeight w:val="300"/>
        </w:trPr>
        <w:tc>
          <w:tcPr>
            <w:tcW w:w="1138" w:type="dxa"/>
            <w:tcBorders>
              <w:top w:val="single" w:sz="4" w:space="0" w:color="auto"/>
              <w:bottom w:val="single" w:sz="4" w:space="0" w:color="auto"/>
            </w:tcBorders>
            <w:shd w:val="clear" w:color="auto" w:fill="auto"/>
            <w:noWrap/>
            <w:vAlign w:val="bottom"/>
            <w:hideMark/>
          </w:tcPr>
          <w:p w14:paraId="605399D2" w14:textId="77777777" w:rsidR="00E70851" w:rsidRPr="0069281C" w:rsidRDefault="00E70851" w:rsidP="00E70851">
            <w:pPr>
              <w:pStyle w:val="NoSpacing"/>
              <w:rPr>
                <w:lang w:val="en-US" w:eastAsia="is-IS"/>
              </w:rPr>
            </w:pPr>
            <w:r w:rsidRPr="0069281C">
              <w:rPr>
                <w:lang w:val="en-US" w:eastAsia="is-IS"/>
              </w:rPr>
              <w:t>dTMP</w:t>
            </w:r>
          </w:p>
        </w:tc>
        <w:tc>
          <w:tcPr>
            <w:tcW w:w="1540" w:type="dxa"/>
            <w:tcBorders>
              <w:top w:val="single" w:sz="4" w:space="0" w:color="auto"/>
              <w:bottom w:val="single" w:sz="4" w:space="0" w:color="auto"/>
            </w:tcBorders>
            <w:shd w:val="clear" w:color="auto" w:fill="auto"/>
            <w:noWrap/>
            <w:vAlign w:val="bottom"/>
            <w:hideMark/>
          </w:tcPr>
          <w:p w14:paraId="0240EA47" w14:textId="77777777" w:rsidR="00E70851" w:rsidRPr="0069281C" w:rsidRDefault="00E70851" w:rsidP="00E70851">
            <w:pPr>
              <w:pStyle w:val="NoSpacing"/>
              <w:rPr>
                <w:lang w:val="en-US" w:eastAsia="is-IS"/>
              </w:rPr>
            </w:pPr>
            <w:r w:rsidRPr="0069281C">
              <w:rPr>
                <w:lang w:val="en-US" w:eastAsia="is-IS"/>
              </w:rPr>
              <w:t>0,30560617</w:t>
            </w:r>
          </w:p>
        </w:tc>
        <w:tc>
          <w:tcPr>
            <w:tcW w:w="1497" w:type="dxa"/>
            <w:tcBorders>
              <w:top w:val="single" w:sz="4" w:space="0" w:color="auto"/>
              <w:bottom w:val="single" w:sz="4" w:space="0" w:color="auto"/>
            </w:tcBorders>
          </w:tcPr>
          <w:p w14:paraId="0F68693B" w14:textId="77777777" w:rsidR="00E70851" w:rsidRPr="0069281C" w:rsidRDefault="00E70851" w:rsidP="00E70851">
            <w:pPr>
              <w:pStyle w:val="NoSpacing"/>
              <w:rPr>
                <w:lang w:val="en-US" w:eastAsia="is-IS"/>
              </w:rPr>
            </w:pPr>
            <w:r w:rsidRPr="0069281C">
              <w:rPr>
                <w:lang w:val="en-US" w:eastAsia="is-IS"/>
              </w:rPr>
              <w:t>304,2</w:t>
            </w:r>
          </w:p>
        </w:tc>
        <w:tc>
          <w:tcPr>
            <w:tcW w:w="2199" w:type="dxa"/>
            <w:tcBorders>
              <w:top w:val="single" w:sz="4" w:space="0" w:color="auto"/>
              <w:left w:val="nil"/>
              <w:bottom w:val="single" w:sz="4" w:space="0" w:color="auto"/>
              <w:right w:val="single" w:sz="4" w:space="0" w:color="auto"/>
            </w:tcBorders>
            <w:shd w:val="clear" w:color="auto" w:fill="auto"/>
            <w:vAlign w:val="bottom"/>
          </w:tcPr>
          <w:p w14:paraId="3399C232" w14:textId="77777777" w:rsidR="00E70851" w:rsidRPr="0069281C" w:rsidRDefault="007B31B2" w:rsidP="00E70851">
            <w:pPr>
              <w:pStyle w:val="NoSpacing"/>
              <w:rPr>
                <w:lang w:val="en-US"/>
              </w:rPr>
            </w:pPr>
            <w:r w:rsidRPr="0069281C">
              <w:rPr>
                <w:lang w:val="en-US"/>
              </w:rPr>
              <w:t>93,0</w:t>
            </w:r>
          </w:p>
        </w:tc>
      </w:tr>
      <w:tr w:rsidR="00E70851" w:rsidRPr="0069281C" w14:paraId="4738E7F7" w14:textId="77777777" w:rsidTr="00E70851">
        <w:trPr>
          <w:trHeight w:val="300"/>
        </w:trPr>
        <w:tc>
          <w:tcPr>
            <w:tcW w:w="1138" w:type="dxa"/>
            <w:tcBorders>
              <w:top w:val="single" w:sz="4" w:space="0" w:color="auto"/>
              <w:bottom w:val="single" w:sz="4" w:space="0" w:color="auto"/>
            </w:tcBorders>
            <w:shd w:val="clear" w:color="auto" w:fill="auto"/>
            <w:noWrap/>
            <w:vAlign w:val="bottom"/>
            <w:hideMark/>
          </w:tcPr>
          <w:p w14:paraId="3AC5156F" w14:textId="77777777" w:rsidR="00E70851" w:rsidRPr="0069281C" w:rsidRDefault="00E70851" w:rsidP="00E70851">
            <w:pPr>
              <w:pStyle w:val="NoSpacing"/>
              <w:rPr>
                <w:lang w:val="en-US" w:eastAsia="is-IS"/>
              </w:rPr>
            </w:pPr>
            <w:proofErr w:type="spellStart"/>
            <w:r w:rsidRPr="0069281C">
              <w:rPr>
                <w:lang w:val="en-US" w:eastAsia="is-IS"/>
              </w:rPr>
              <w:t>dCMP</w:t>
            </w:r>
            <w:proofErr w:type="spellEnd"/>
          </w:p>
        </w:tc>
        <w:tc>
          <w:tcPr>
            <w:tcW w:w="1540" w:type="dxa"/>
            <w:tcBorders>
              <w:top w:val="single" w:sz="4" w:space="0" w:color="auto"/>
              <w:bottom w:val="single" w:sz="4" w:space="0" w:color="auto"/>
            </w:tcBorders>
            <w:shd w:val="clear" w:color="auto" w:fill="auto"/>
            <w:noWrap/>
            <w:vAlign w:val="bottom"/>
            <w:hideMark/>
          </w:tcPr>
          <w:p w14:paraId="35D4210F" w14:textId="77777777" w:rsidR="00E70851" w:rsidRPr="0069281C" w:rsidRDefault="00E70851" w:rsidP="00E70851">
            <w:pPr>
              <w:pStyle w:val="NoSpacing"/>
              <w:rPr>
                <w:lang w:val="en-US" w:eastAsia="is-IS"/>
              </w:rPr>
            </w:pPr>
            <w:r w:rsidRPr="0069281C">
              <w:rPr>
                <w:lang w:val="en-US" w:eastAsia="is-IS"/>
              </w:rPr>
              <w:t>0,19439383</w:t>
            </w:r>
          </w:p>
        </w:tc>
        <w:tc>
          <w:tcPr>
            <w:tcW w:w="1497" w:type="dxa"/>
            <w:tcBorders>
              <w:top w:val="single" w:sz="4" w:space="0" w:color="auto"/>
              <w:bottom w:val="single" w:sz="4" w:space="0" w:color="auto"/>
            </w:tcBorders>
          </w:tcPr>
          <w:p w14:paraId="26051F35" w14:textId="77777777" w:rsidR="00E70851" w:rsidRPr="0069281C" w:rsidRDefault="00E70851" w:rsidP="00E70851">
            <w:pPr>
              <w:pStyle w:val="NoSpacing"/>
              <w:rPr>
                <w:lang w:val="en-US" w:eastAsia="is-IS"/>
              </w:rPr>
            </w:pPr>
            <w:r w:rsidRPr="0069281C">
              <w:rPr>
                <w:lang w:val="en-US" w:eastAsia="is-IS"/>
              </w:rPr>
              <w:t>289,2</w:t>
            </w:r>
          </w:p>
        </w:tc>
        <w:tc>
          <w:tcPr>
            <w:tcW w:w="2199" w:type="dxa"/>
            <w:tcBorders>
              <w:top w:val="single" w:sz="4" w:space="0" w:color="auto"/>
              <w:left w:val="nil"/>
              <w:bottom w:val="single" w:sz="4" w:space="0" w:color="auto"/>
              <w:right w:val="single" w:sz="4" w:space="0" w:color="auto"/>
            </w:tcBorders>
            <w:shd w:val="clear" w:color="auto" w:fill="auto"/>
            <w:vAlign w:val="bottom"/>
          </w:tcPr>
          <w:p w14:paraId="2D8AF72B" w14:textId="77777777" w:rsidR="00E70851" w:rsidRPr="0069281C" w:rsidRDefault="007B31B2" w:rsidP="00E70851">
            <w:pPr>
              <w:pStyle w:val="NoSpacing"/>
              <w:rPr>
                <w:lang w:val="en-US"/>
              </w:rPr>
            </w:pPr>
            <w:r w:rsidRPr="0069281C">
              <w:rPr>
                <w:lang w:val="en-US"/>
              </w:rPr>
              <w:t>56,2</w:t>
            </w:r>
          </w:p>
        </w:tc>
      </w:tr>
      <w:tr w:rsidR="00E70851" w:rsidRPr="0069281C" w14:paraId="4A120D1B" w14:textId="77777777" w:rsidTr="00E70851">
        <w:trPr>
          <w:trHeight w:val="300"/>
        </w:trPr>
        <w:tc>
          <w:tcPr>
            <w:tcW w:w="1138" w:type="dxa"/>
            <w:tcBorders>
              <w:top w:val="single" w:sz="4" w:space="0" w:color="auto"/>
              <w:bottom w:val="single" w:sz="4" w:space="0" w:color="auto"/>
            </w:tcBorders>
            <w:shd w:val="clear" w:color="auto" w:fill="auto"/>
            <w:noWrap/>
            <w:vAlign w:val="bottom"/>
            <w:hideMark/>
          </w:tcPr>
          <w:p w14:paraId="6D27C32C" w14:textId="77777777" w:rsidR="00E70851" w:rsidRPr="0069281C" w:rsidRDefault="00E70851" w:rsidP="00E70851">
            <w:pPr>
              <w:pStyle w:val="NoSpacing"/>
              <w:rPr>
                <w:lang w:val="en-US" w:eastAsia="is-IS"/>
              </w:rPr>
            </w:pPr>
            <w:proofErr w:type="spellStart"/>
            <w:r w:rsidRPr="0069281C">
              <w:rPr>
                <w:lang w:val="en-US" w:eastAsia="is-IS"/>
              </w:rPr>
              <w:t>dGMP</w:t>
            </w:r>
            <w:proofErr w:type="spellEnd"/>
          </w:p>
        </w:tc>
        <w:tc>
          <w:tcPr>
            <w:tcW w:w="1540" w:type="dxa"/>
            <w:tcBorders>
              <w:top w:val="single" w:sz="4" w:space="0" w:color="auto"/>
              <w:bottom w:val="single" w:sz="4" w:space="0" w:color="auto"/>
            </w:tcBorders>
            <w:shd w:val="clear" w:color="auto" w:fill="auto"/>
            <w:noWrap/>
            <w:vAlign w:val="bottom"/>
            <w:hideMark/>
          </w:tcPr>
          <w:p w14:paraId="29776406" w14:textId="77777777" w:rsidR="00E70851" w:rsidRPr="0069281C" w:rsidRDefault="00E70851" w:rsidP="00E70851">
            <w:pPr>
              <w:pStyle w:val="NoSpacing"/>
              <w:rPr>
                <w:lang w:val="en-US" w:eastAsia="is-IS"/>
              </w:rPr>
            </w:pPr>
            <w:r w:rsidRPr="0069281C">
              <w:rPr>
                <w:lang w:val="en-US" w:eastAsia="is-IS"/>
              </w:rPr>
              <w:t>0,19439383</w:t>
            </w:r>
          </w:p>
        </w:tc>
        <w:tc>
          <w:tcPr>
            <w:tcW w:w="1497" w:type="dxa"/>
            <w:tcBorders>
              <w:top w:val="single" w:sz="4" w:space="0" w:color="auto"/>
              <w:bottom w:val="single" w:sz="4" w:space="0" w:color="auto"/>
            </w:tcBorders>
          </w:tcPr>
          <w:p w14:paraId="64450987" w14:textId="77777777" w:rsidR="00E70851" w:rsidRPr="0069281C" w:rsidRDefault="00E70851" w:rsidP="00E70851">
            <w:pPr>
              <w:pStyle w:val="NoSpacing"/>
              <w:rPr>
                <w:lang w:val="en-US" w:eastAsia="is-IS"/>
              </w:rPr>
            </w:pPr>
            <w:r w:rsidRPr="0069281C">
              <w:rPr>
                <w:lang w:val="en-US" w:eastAsia="is-IS"/>
              </w:rPr>
              <w:t>304,2</w:t>
            </w:r>
          </w:p>
        </w:tc>
        <w:tc>
          <w:tcPr>
            <w:tcW w:w="2199" w:type="dxa"/>
            <w:tcBorders>
              <w:top w:val="single" w:sz="4" w:space="0" w:color="auto"/>
              <w:left w:val="nil"/>
              <w:bottom w:val="single" w:sz="4" w:space="0" w:color="auto"/>
              <w:right w:val="single" w:sz="4" w:space="0" w:color="auto"/>
            </w:tcBorders>
            <w:shd w:val="clear" w:color="auto" w:fill="auto"/>
            <w:vAlign w:val="bottom"/>
          </w:tcPr>
          <w:p w14:paraId="478B6798" w14:textId="77777777" w:rsidR="00E70851" w:rsidRPr="0069281C" w:rsidRDefault="007B31B2" w:rsidP="00E70851">
            <w:pPr>
              <w:pStyle w:val="NoSpacing"/>
              <w:rPr>
                <w:lang w:val="en-US"/>
              </w:rPr>
            </w:pPr>
            <w:r w:rsidRPr="0069281C">
              <w:rPr>
                <w:lang w:val="en-US"/>
              </w:rPr>
              <w:t>59,1</w:t>
            </w:r>
          </w:p>
        </w:tc>
      </w:tr>
      <w:tr w:rsidR="00E70851" w:rsidRPr="0069281C" w14:paraId="347C92BC" w14:textId="77777777" w:rsidTr="00E70851">
        <w:trPr>
          <w:trHeight w:val="300"/>
        </w:trPr>
        <w:tc>
          <w:tcPr>
            <w:tcW w:w="4175" w:type="dxa"/>
            <w:gridSpan w:val="3"/>
            <w:tcBorders>
              <w:top w:val="single" w:sz="4" w:space="0" w:color="auto"/>
            </w:tcBorders>
            <w:shd w:val="clear" w:color="auto" w:fill="auto"/>
            <w:noWrap/>
            <w:vAlign w:val="bottom"/>
          </w:tcPr>
          <w:p w14:paraId="318DAB50" w14:textId="77777777" w:rsidR="00E70851" w:rsidRPr="0069281C" w:rsidRDefault="00E70851" w:rsidP="00E70851">
            <w:pPr>
              <w:spacing w:after="0" w:line="240" w:lineRule="auto"/>
              <w:jc w:val="right"/>
              <w:rPr>
                <w:rFonts w:eastAsia="Times New Roman" w:cs="Times New Roman"/>
                <w:b/>
                <w:bCs/>
                <w:color w:val="000000"/>
                <w:lang w:val="en-US" w:eastAsia="is-IS"/>
              </w:rPr>
            </w:pPr>
            <w:r w:rsidRPr="0069281C">
              <w:rPr>
                <w:rFonts w:eastAsia="Times New Roman" w:cs="Times New Roman"/>
                <w:b/>
                <w:bCs/>
                <w:color w:val="000000"/>
                <w:lang w:val="en-US" w:eastAsia="is-IS"/>
              </w:rPr>
              <w:t>Average MW of DNA</w:t>
            </w:r>
          </w:p>
        </w:tc>
        <w:tc>
          <w:tcPr>
            <w:tcW w:w="2199" w:type="dxa"/>
            <w:tcBorders>
              <w:top w:val="single" w:sz="4" w:space="0" w:color="auto"/>
            </w:tcBorders>
          </w:tcPr>
          <w:p w14:paraId="22F1E21F" w14:textId="77777777" w:rsidR="00E70851" w:rsidRPr="0069281C" w:rsidRDefault="007B31B2" w:rsidP="00E70851">
            <w:pPr>
              <w:pStyle w:val="NoSpacing"/>
              <w:rPr>
                <w:b/>
                <w:lang w:val="en-US"/>
              </w:rPr>
            </w:pPr>
            <w:r w:rsidRPr="0069281C">
              <w:rPr>
                <w:b/>
                <w:lang w:val="en-US"/>
              </w:rPr>
              <w:t>309,5</w:t>
            </w:r>
          </w:p>
        </w:tc>
      </w:tr>
    </w:tbl>
    <w:p w14:paraId="2A15F71D" w14:textId="77777777" w:rsidR="008B429A" w:rsidRPr="0069281C" w:rsidRDefault="005B08D4">
      <w:pPr>
        <w:rPr>
          <w:lang w:val="en-US"/>
        </w:rPr>
      </w:pPr>
      <w:r w:rsidRPr="0069281C">
        <w:rPr>
          <w:lang w:val="en-US"/>
        </w:rPr>
        <w:br/>
      </w:r>
      <w:r w:rsidR="008B429A" w:rsidRPr="0069281C">
        <w:rPr>
          <w:b/>
          <w:lang w:val="en-US"/>
        </w:rPr>
        <w:t>DNA reaction:</w:t>
      </w:r>
      <w:r w:rsidR="008B429A" w:rsidRPr="0069281C">
        <w:rPr>
          <w:b/>
          <w:lang w:val="en-US"/>
        </w:rPr>
        <w:br/>
      </w:r>
      <w:r w:rsidR="008B429A" w:rsidRPr="0069281C">
        <w:rPr>
          <w:lang w:val="en-US"/>
        </w:rPr>
        <w:t xml:space="preserve">1.37 </w:t>
      </w:r>
      <w:proofErr w:type="spellStart"/>
      <w:r w:rsidR="008B429A" w:rsidRPr="0069281C">
        <w:rPr>
          <w:lang w:val="en-US"/>
        </w:rPr>
        <w:t>atp_c</w:t>
      </w:r>
      <w:proofErr w:type="spellEnd"/>
      <w:r w:rsidR="008B429A" w:rsidRPr="0069281C">
        <w:rPr>
          <w:lang w:val="en-US"/>
        </w:rPr>
        <w:t xml:space="preserve"> + 0.310284595735 </w:t>
      </w:r>
      <w:proofErr w:type="spellStart"/>
      <w:r w:rsidR="008B429A" w:rsidRPr="0069281C">
        <w:rPr>
          <w:lang w:val="en-US"/>
        </w:rPr>
        <w:t>datp_c</w:t>
      </w:r>
      <w:proofErr w:type="spellEnd"/>
      <w:r w:rsidR="008B429A" w:rsidRPr="0069281C">
        <w:rPr>
          <w:lang w:val="en-US"/>
        </w:rPr>
        <w:t xml:space="preserve"> + 0.180906354753 </w:t>
      </w:r>
      <w:proofErr w:type="spellStart"/>
      <w:r w:rsidR="008B429A" w:rsidRPr="0069281C">
        <w:rPr>
          <w:lang w:val="en-US"/>
        </w:rPr>
        <w:t>dctp_c</w:t>
      </w:r>
      <w:proofErr w:type="spellEnd"/>
      <w:r w:rsidR="008B429A" w:rsidRPr="0069281C">
        <w:rPr>
          <w:lang w:val="en-US"/>
        </w:rPr>
        <w:t xml:space="preserve"> + 0.207484087701 </w:t>
      </w:r>
      <w:proofErr w:type="spellStart"/>
      <w:r w:rsidR="008B429A" w:rsidRPr="0069281C">
        <w:rPr>
          <w:lang w:val="en-US"/>
        </w:rPr>
        <w:t>dgtp_c</w:t>
      </w:r>
      <w:proofErr w:type="spellEnd"/>
      <w:r w:rsidR="008B429A" w:rsidRPr="0069281C">
        <w:rPr>
          <w:lang w:val="en-US"/>
        </w:rPr>
        <w:t xml:space="preserve"> + 0.301324961811 </w:t>
      </w:r>
      <w:proofErr w:type="spellStart"/>
      <w:r w:rsidR="008B429A" w:rsidRPr="0069281C">
        <w:rPr>
          <w:lang w:val="en-US"/>
        </w:rPr>
        <w:t>dttp_c</w:t>
      </w:r>
      <w:proofErr w:type="spellEnd"/>
      <w:r w:rsidR="008B429A" w:rsidRPr="0069281C">
        <w:rPr>
          <w:lang w:val="en-US"/>
        </w:rPr>
        <w:t xml:space="preserve"> + 1.37 h2o_c --&gt; </w:t>
      </w:r>
      <w:proofErr w:type="spellStart"/>
      <w:r w:rsidR="008B429A" w:rsidRPr="0069281C">
        <w:rPr>
          <w:lang w:val="en-US"/>
        </w:rPr>
        <w:t>DNA_LRE_c</w:t>
      </w:r>
      <w:proofErr w:type="spellEnd"/>
      <w:r w:rsidR="008B429A" w:rsidRPr="0069281C">
        <w:rPr>
          <w:lang w:val="en-US"/>
        </w:rPr>
        <w:t xml:space="preserve"> + 1.37 </w:t>
      </w:r>
      <w:proofErr w:type="spellStart"/>
      <w:r w:rsidR="008B429A" w:rsidRPr="0069281C">
        <w:rPr>
          <w:lang w:val="en-US"/>
        </w:rPr>
        <w:t>adp_c</w:t>
      </w:r>
      <w:proofErr w:type="spellEnd"/>
      <w:r w:rsidR="008B429A" w:rsidRPr="0069281C">
        <w:rPr>
          <w:lang w:val="en-US"/>
        </w:rPr>
        <w:t xml:space="preserve"> + 1.37 </w:t>
      </w:r>
      <w:proofErr w:type="spellStart"/>
      <w:r w:rsidR="008B429A" w:rsidRPr="0069281C">
        <w:rPr>
          <w:lang w:val="en-US"/>
        </w:rPr>
        <w:t>h_c</w:t>
      </w:r>
      <w:proofErr w:type="spellEnd"/>
      <w:r w:rsidR="008B429A" w:rsidRPr="0069281C">
        <w:rPr>
          <w:lang w:val="en-US"/>
        </w:rPr>
        <w:t xml:space="preserve"> + 1.37 </w:t>
      </w:r>
      <w:proofErr w:type="spellStart"/>
      <w:r w:rsidR="008B429A" w:rsidRPr="0069281C">
        <w:rPr>
          <w:lang w:val="en-US"/>
        </w:rPr>
        <w:t>pi_c</w:t>
      </w:r>
      <w:proofErr w:type="spellEnd"/>
      <w:r w:rsidR="008B429A" w:rsidRPr="0069281C">
        <w:rPr>
          <w:lang w:val="en-US"/>
        </w:rPr>
        <w:t xml:space="preserve"> + </w:t>
      </w:r>
      <w:proofErr w:type="spellStart"/>
      <w:r w:rsidR="008B429A" w:rsidRPr="0069281C">
        <w:rPr>
          <w:lang w:val="en-US"/>
        </w:rPr>
        <w:t>ppi_c</w:t>
      </w:r>
      <w:proofErr w:type="spellEnd"/>
    </w:p>
    <w:p w14:paraId="27B5CB95" w14:textId="77777777" w:rsidR="006A5F90" w:rsidRPr="0069281C" w:rsidRDefault="006A5F90">
      <w:pPr>
        <w:rPr>
          <w:b/>
          <w:sz w:val="24"/>
          <w:lang w:val="en-US"/>
        </w:rPr>
      </w:pPr>
      <w:r w:rsidRPr="0069281C">
        <w:rPr>
          <w:b/>
          <w:sz w:val="24"/>
          <w:lang w:val="en-US"/>
        </w:rPr>
        <w:t>RNA</w:t>
      </w:r>
    </w:p>
    <w:p w14:paraId="044FE7E0" w14:textId="77777777" w:rsidR="007C1B4A" w:rsidRPr="0069281C" w:rsidRDefault="007C1B4A">
      <w:pPr>
        <w:rPr>
          <w:lang w:val="en-US"/>
        </w:rPr>
      </w:pPr>
      <w:r w:rsidRPr="0069281C">
        <w:rPr>
          <w:lang w:val="en-US"/>
        </w:rPr>
        <w:t xml:space="preserve">Calculated from JCM1112 genome, assuming equal transcription </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8"/>
        <w:gridCol w:w="1551"/>
        <w:gridCol w:w="1417"/>
        <w:gridCol w:w="2268"/>
      </w:tblGrid>
      <w:tr w:rsidR="00E70851" w:rsidRPr="0069281C" w14:paraId="5AC6B109" w14:textId="77777777" w:rsidTr="00E70851">
        <w:trPr>
          <w:trHeight w:val="300"/>
        </w:trPr>
        <w:tc>
          <w:tcPr>
            <w:tcW w:w="1138" w:type="dxa"/>
            <w:shd w:val="clear" w:color="auto" w:fill="auto"/>
            <w:noWrap/>
            <w:vAlign w:val="center"/>
          </w:tcPr>
          <w:p w14:paraId="087F4090" w14:textId="77777777" w:rsidR="00E70851" w:rsidRPr="0069281C" w:rsidRDefault="00E70851" w:rsidP="00E70851">
            <w:pPr>
              <w:pStyle w:val="NoSpacing"/>
              <w:rPr>
                <w:b/>
                <w:lang w:val="en-US" w:eastAsia="is-IS"/>
              </w:rPr>
            </w:pPr>
            <w:r w:rsidRPr="0069281C">
              <w:rPr>
                <w:b/>
                <w:lang w:val="en-US" w:eastAsia="is-IS"/>
              </w:rPr>
              <w:t>Nucleotide</w:t>
            </w:r>
          </w:p>
        </w:tc>
        <w:tc>
          <w:tcPr>
            <w:tcW w:w="1551" w:type="dxa"/>
            <w:shd w:val="clear" w:color="auto" w:fill="auto"/>
            <w:noWrap/>
            <w:vAlign w:val="center"/>
          </w:tcPr>
          <w:p w14:paraId="14DC9308" w14:textId="77777777" w:rsidR="00E70851" w:rsidRPr="0069281C" w:rsidRDefault="00E70851" w:rsidP="00E70851">
            <w:pPr>
              <w:pStyle w:val="NoSpacing"/>
              <w:rPr>
                <w:b/>
                <w:lang w:val="en-US" w:eastAsia="is-IS"/>
              </w:rPr>
            </w:pPr>
            <w:r w:rsidRPr="0069281C">
              <w:rPr>
                <w:b/>
                <w:lang w:val="en-US" w:eastAsia="is-IS"/>
              </w:rPr>
              <w:t>Ratio</w:t>
            </w:r>
          </w:p>
        </w:tc>
        <w:tc>
          <w:tcPr>
            <w:tcW w:w="1417" w:type="dxa"/>
          </w:tcPr>
          <w:p w14:paraId="6D014EA7" w14:textId="77777777" w:rsidR="00E70851" w:rsidRPr="0069281C" w:rsidRDefault="00E70851" w:rsidP="00E70851">
            <w:pPr>
              <w:pStyle w:val="NoSpacing"/>
              <w:rPr>
                <w:b/>
                <w:lang w:val="en-US" w:eastAsia="is-IS"/>
              </w:rPr>
            </w:pPr>
            <w:r w:rsidRPr="0069281C">
              <w:rPr>
                <w:b/>
                <w:lang w:val="en-US" w:eastAsia="is-IS"/>
              </w:rPr>
              <w:t>MW (g mol</w:t>
            </w:r>
            <w:r w:rsidRPr="0069281C">
              <w:rPr>
                <w:b/>
                <w:vertAlign w:val="superscript"/>
                <w:lang w:val="en-US" w:eastAsia="is-IS"/>
              </w:rPr>
              <w:t>-1</w:t>
            </w:r>
            <w:r w:rsidRPr="0069281C">
              <w:rPr>
                <w:b/>
                <w:lang w:val="en-US" w:eastAsia="is-IS"/>
              </w:rPr>
              <w:t>)</w:t>
            </w:r>
          </w:p>
        </w:tc>
        <w:tc>
          <w:tcPr>
            <w:tcW w:w="2268" w:type="dxa"/>
          </w:tcPr>
          <w:p w14:paraId="66335813" w14:textId="77777777" w:rsidR="00E70851" w:rsidRPr="0069281C" w:rsidRDefault="00E70851" w:rsidP="00E70851">
            <w:pPr>
              <w:pStyle w:val="NoSpacing"/>
              <w:rPr>
                <w:b/>
                <w:lang w:val="en-US" w:eastAsia="is-IS"/>
              </w:rPr>
            </w:pPr>
            <w:r w:rsidRPr="0069281C">
              <w:rPr>
                <w:b/>
                <w:lang w:val="en-US" w:eastAsia="is-IS"/>
              </w:rPr>
              <w:t>MW * Ratio (g mol</w:t>
            </w:r>
            <w:r w:rsidRPr="0069281C">
              <w:rPr>
                <w:b/>
                <w:vertAlign w:val="superscript"/>
                <w:lang w:val="en-US" w:eastAsia="is-IS"/>
              </w:rPr>
              <w:t>-1</w:t>
            </w:r>
            <w:r w:rsidRPr="0069281C">
              <w:rPr>
                <w:b/>
                <w:lang w:val="en-US" w:eastAsia="is-IS"/>
              </w:rPr>
              <w:t>)</w:t>
            </w:r>
          </w:p>
        </w:tc>
      </w:tr>
      <w:tr w:rsidR="00E70851" w:rsidRPr="0069281C" w14:paraId="595D830B" w14:textId="77777777" w:rsidTr="00E70851">
        <w:trPr>
          <w:trHeight w:val="300"/>
        </w:trPr>
        <w:tc>
          <w:tcPr>
            <w:tcW w:w="1138" w:type="dxa"/>
            <w:shd w:val="clear" w:color="auto" w:fill="auto"/>
            <w:noWrap/>
            <w:vAlign w:val="bottom"/>
            <w:hideMark/>
          </w:tcPr>
          <w:p w14:paraId="138281D6" w14:textId="77777777" w:rsidR="00E70851" w:rsidRPr="0069281C" w:rsidRDefault="00E70851" w:rsidP="00E70851">
            <w:pPr>
              <w:pStyle w:val="NoSpacing"/>
              <w:rPr>
                <w:lang w:val="en-US" w:eastAsia="is-IS"/>
              </w:rPr>
            </w:pPr>
            <w:r w:rsidRPr="0069281C">
              <w:rPr>
                <w:lang w:val="en-US" w:eastAsia="is-IS"/>
              </w:rPr>
              <w:t>AMP</w:t>
            </w:r>
          </w:p>
        </w:tc>
        <w:tc>
          <w:tcPr>
            <w:tcW w:w="1551" w:type="dxa"/>
            <w:shd w:val="clear" w:color="auto" w:fill="auto"/>
            <w:noWrap/>
            <w:vAlign w:val="bottom"/>
            <w:hideMark/>
          </w:tcPr>
          <w:p w14:paraId="10BBA0DF" w14:textId="77777777" w:rsidR="00E70851" w:rsidRPr="0069281C" w:rsidRDefault="00E70851" w:rsidP="00E70851">
            <w:pPr>
              <w:pStyle w:val="NoSpacing"/>
              <w:rPr>
                <w:lang w:val="en-US" w:eastAsia="is-IS"/>
              </w:rPr>
            </w:pPr>
            <w:r w:rsidRPr="0069281C">
              <w:rPr>
                <w:lang w:val="en-US" w:eastAsia="is-IS"/>
              </w:rPr>
              <w:t>0,31434679</w:t>
            </w:r>
          </w:p>
        </w:tc>
        <w:tc>
          <w:tcPr>
            <w:tcW w:w="1417" w:type="dxa"/>
          </w:tcPr>
          <w:p w14:paraId="09175259" w14:textId="77777777" w:rsidR="00E70851" w:rsidRPr="0069281C" w:rsidRDefault="00E70851" w:rsidP="00E70851">
            <w:pPr>
              <w:pStyle w:val="NoSpacing"/>
              <w:rPr>
                <w:lang w:val="en-US" w:eastAsia="is-IS"/>
              </w:rPr>
            </w:pPr>
            <w:r w:rsidRPr="0069281C">
              <w:rPr>
                <w:lang w:val="en-US" w:eastAsia="is-IS"/>
              </w:rPr>
              <w:t>329,2</w:t>
            </w:r>
          </w:p>
        </w:tc>
        <w:tc>
          <w:tcPr>
            <w:tcW w:w="2268" w:type="dxa"/>
            <w:shd w:val="clear" w:color="auto" w:fill="auto"/>
            <w:vAlign w:val="bottom"/>
          </w:tcPr>
          <w:p w14:paraId="5EBED0CF" w14:textId="77777777" w:rsidR="00E70851" w:rsidRPr="0069281C" w:rsidRDefault="007B31B2" w:rsidP="00E70851">
            <w:pPr>
              <w:pStyle w:val="NoSpacing"/>
              <w:rPr>
                <w:lang w:val="en-US"/>
              </w:rPr>
            </w:pPr>
            <w:r w:rsidRPr="0069281C">
              <w:rPr>
                <w:lang w:val="en-US"/>
              </w:rPr>
              <w:t>103,5</w:t>
            </w:r>
          </w:p>
        </w:tc>
      </w:tr>
      <w:tr w:rsidR="00E70851" w:rsidRPr="0069281C" w14:paraId="3BDAE149" w14:textId="77777777" w:rsidTr="00E70851">
        <w:trPr>
          <w:trHeight w:val="300"/>
        </w:trPr>
        <w:tc>
          <w:tcPr>
            <w:tcW w:w="1138" w:type="dxa"/>
            <w:shd w:val="clear" w:color="auto" w:fill="auto"/>
            <w:noWrap/>
            <w:vAlign w:val="bottom"/>
            <w:hideMark/>
          </w:tcPr>
          <w:p w14:paraId="737921C6" w14:textId="77777777" w:rsidR="00E70851" w:rsidRPr="0069281C" w:rsidRDefault="00E70851" w:rsidP="00E70851">
            <w:pPr>
              <w:pStyle w:val="NoSpacing"/>
              <w:rPr>
                <w:lang w:val="en-US" w:eastAsia="is-IS"/>
              </w:rPr>
            </w:pPr>
            <w:r w:rsidRPr="0069281C">
              <w:rPr>
                <w:lang w:val="en-US" w:eastAsia="is-IS"/>
              </w:rPr>
              <w:t>UMP</w:t>
            </w:r>
          </w:p>
        </w:tc>
        <w:tc>
          <w:tcPr>
            <w:tcW w:w="1551" w:type="dxa"/>
            <w:shd w:val="clear" w:color="auto" w:fill="auto"/>
            <w:noWrap/>
            <w:vAlign w:val="bottom"/>
            <w:hideMark/>
          </w:tcPr>
          <w:p w14:paraId="09118E89" w14:textId="77777777" w:rsidR="00E70851" w:rsidRPr="0069281C" w:rsidRDefault="00E70851" w:rsidP="00E70851">
            <w:pPr>
              <w:pStyle w:val="NoSpacing"/>
              <w:rPr>
                <w:lang w:val="en-US" w:eastAsia="is-IS"/>
              </w:rPr>
            </w:pPr>
            <w:r w:rsidRPr="0069281C">
              <w:rPr>
                <w:lang w:val="en-US" w:eastAsia="is-IS"/>
              </w:rPr>
              <w:t>0,29106444</w:t>
            </w:r>
          </w:p>
        </w:tc>
        <w:tc>
          <w:tcPr>
            <w:tcW w:w="1417" w:type="dxa"/>
          </w:tcPr>
          <w:p w14:paraId="0195DCF0" w14:textId="77777777" w:rsidR="00E70851" w:rsidRPr="0069281C" w:rsidRDefault="00E70851" w:rsidP="00E70851">
            <w:pPr>
              <w:pStyle w:val="NoSpacing"/>
              <w:rPr>
                <w:lang w:val="en-US" w:eastAsia="is-IS"/>
              </w:rPr>
            </w:pPr>
            <w:r w:rsidRPr="0069281C">
              <w:rPr>
                <w:lang w:val="en-US" w:eastAsia="is-IS"/>
              </w:rPr>
              <w:t>306,2</w:t>
            </w:r>
          </w:p>
        </w:tc>
        <w:tc>
          <w:tcPr>
            <w:tcW w:w="2268" w:type="dxa"/>
            <w:shd w:val="clear" w:color="auto" w:fill="auto"/>
            <w:vAlign w:val="bottom"/>
          </w:tcPr>
          <w:p w14:paraId="6D499B62" w14:textId="77777777" w:rsidR="00E70851" w:rsidRPr="0069281C" w:rsidRDefault="007B31B2" w:rsidP="00E70851">
            <w:pPr>
              <w:pStyle w:val="NoSpacing"/>
              <w:rPr>
                <w:lang w:val="en-US"/>
              </w:rPr>
            </w:pPr>
            <w:r w:rsidRPr="0069281C">
              <w:rPr>
                <w:lang w:val="en-US"/>
              </w:rPr>
              <w:t>89,1</w:t>
            </w:r>
          </w:p>
        </w:tc>
      </w:tr>
      <w:tr w:rsidR="00E70851" w:rsidRPr="0069281C" w14:paraId="2E3F6EB8" w14:textId="77777777" w:rsidTr="00E70851">
        <w:trPr>
          <w:trHeight w:val="300"/>
        </w:trPr>
        <w:tc>
          <w:tcPr>
            <w:tcW w:w="1138" w:type="dxa"/>
            <w:shd w:val="clear" w:color="auto" w:fill="auto"/>
            <w:noWrap/>
            <w:vAlign w:val="bottom"/>
            <w:hideMark/>
          </w:tcPr>
          <w:p w14:paraId="57017513" w14:textId="77777777" w:rsidR="00E70851" w:rsidRPr="0069281C" w:rsidRDefault="00E70851" w:rsidP="00E70851">
            <w:pPr>
              <w:pStyle w:val="NoSpacing"/>
              <w:rPr>
                <w:lang w:val="en-US" w:eastAsia="is-IS"/>
              </w:rPr>
            </w:pPr>
            <w:r w:rsidRPr="0069281C">
              <w:rPr>
                <w:lang w:val="en-US" w:eastAsia="is-IS"/>
              </w:rPr>
              <w:t>CMP</w:t>
            </w:r>
          </w:p>
        </w:tc>
        <w:tc>
          <w:tcPr>
            <w:tcW w:w="1551" w:type="dxa"/>
            <w:shd w:val="clear" w:color="auto" w:fill="auto"/>
            <w:noWrap/>
            <w:vAlign w:val="bottom"/>
            <w:hideMark/>
          </w:tcPr>
          <w:p w14:paraId="6DF545A6" w14:textId="77777777" w:rsidR="00E70851" w:rsidRPr="0069281C" w:rsidRDefault="00E70851" w:rsidP="00E70851">
            <w:pPr>
              <w:pStyle w:val="NoSpacing"/>
              <w:rPr>
                <w:lang w:val="en-US" w:eastAsia="is-IS"/>
              </w:rPr>
            </w:pPr>
            <w:r w:rsidRPr="0069281C">
              <w:rPr>
                <w:lang w:val="en-US" w:eastAsia="is-IS"/>
              </w:rPr>
              <w:t>0,18074957</w:t>
            </w:r>
          </w:p>
        </w:tc>
        <w:tc>
          <w:tcPr>
            <w:tcW w:w="1417" w:type="dxa"/>
          </w:tcPr>
          <w:p w14:paraId="757DD2C9" w14:textId="77777777" w:rsidR="00E70851" w:rsidRPr="0069281C" w:rsidRDefault="00E70851" w:rsidP="00E70851">
            <w:pPr>
              <w:pStyle w:val="NoSpacing"/>
              <w:rPr>
                <w:lang w:val="en-US" w:eastAsia="is-IS"/>
              </w:rPr>
            </w:pPr>
            <w:r w:rsidRPr="0069281C">
              <w:rPr>
                <w:lang w:val="en-US" w:eastAsia="is-IS"/>
              </w:rPr>
              <w:t>305,2</w:t>
            </w:r>
          </w:p>
        </w:tc>
        <w:tc>
          <w:tcPr>
            <w:tcW w:w="2268" w:type="dxa"/>
            <w:shd w:val="clear" w:color="auto" w:fill="auto"/>
            <w:vAlign w:val="bottom"/>
          </w:tcPr>
          <w:p w14:paraId="770C4EFE" w14:textId="77777777" w:rsidR="00E70851" w:rsidRPr="0069281C" w:rsidRDefault="007B31B2" w:rsidP="00E70851">
            <w:pPr>
              <w:pStyle w:val="NoSpacing"/>
              <w:rPr>
                <w:lang w:val="en-US"/>
              </w:rPr>
            </w:pPr>
            <w:r w:rsidRPr="0069281C">
              <w:rPr>
                <w:lang w:val="en-US"/>
              </w:rPr>
              <w:t>55,2</w:t>
            </w:r>
          </w:p>
        </w:tc>
      </w:tr>
      <w:tr w:rsidR="00E70851" w:rsidRPr="0069281C" w14:paraId="00CD0308" w14:textId="77777777" w:rsidTr="00E70851">
        <w:trPr>
          <w:trHeight w:val="300"/>
        </w:trPr>
        <w:tc>
          <w:tcPr>
            <w:tcW w:w="1138" w:type="dxa"/>
            <w:shd w:val="clear" w:color="auto" w:fill="auto"/>
            <w:noWrap/>
            <w:vAlign w:val="bottom"/>
            <w:hideMark/>
          </w:tcPr>
          <w:p w14:paraId="528759D7" w14:textId="77777777" w:rsidR="00E70851" w:rsidRPr="0069281C" w:rsidRDefault="00E70851" w:rsidP="00E70851">
            <w:pPr>
              <w:pStyle w:val="NoSpacing"/>
              <w:rPr>
                <w:lang w:val="en-US" w:eastAsia="is-IS"/>
              </w:rPr>
            </w:pPr>
            <w:r w:rsidRPr="0069281C">
              <w:rPr>
                <w:lang w:val="en-US" w:eastAsia="is-IS"/>
              </w:rPr>
              <w:t>GMP</w:t>
            </w:r>
          </w:p>
        </w:tc>
        <w:tc>
          <w:tcPr>
            <w:tcW w:w="1551" w:type="dxa"/>
            <w:shd w:val="clear" w:color="auto" w:fill="auto"/>
            <w:noWrap/>
            <w:vAlign w:val="bottom"/>
            <w:hideMark/>
          </w:tcPr>
          <w:p w14:paraId="2D8E7482" w14:textId="77777777" w:rsidR="00E70851" w:rsidRPr="0069281C" w:rsidRDefault="00E70851" w:rsidP="00E70851">
            <w:pPr>
              <w:pStyle w:val="NoSpacing"/>
              <w:rPr>
                <w:lang w:val="en-US" w:eastAsia="is-IS"/>
              </w:rPr>
            </w:pPr>
            <w:r w:rsidRPr="0069281C">
              <w:rPr>
                <w:lang w:val="en-US" w:eastAsia="is-IS"/>
              </w:rPr>
              <w:t>0,21383921</w:t>
            </w:r>
          </w:p>
        </w:tc>
        <w:tc>
          <w:tcPr>
            <w:tcW w:w="1417" w:type="dxa"/>
          </w:tcPr>
          <w:p w14:paraId="4D186C2D" w14:textId="77777777" w:rsidR="00E70851" w:rsidRPr="0069281C" w:rsidRDefault="00E70851" w:rsidP="00E70851">
            <w:pPr>
              <w:pStyle w:val="NoSpacing"/>
              <w:rPr>
                <w:lang w:val="en-US" w:eastAsia="is-IS"/>
              </w:rPr>
            </w:pPr>
            <w:r w:rsidRPr="0069281C">
              <w:rPr>
                <w:lang w:val="en-US" w:eastAsia="is-IS"/>
              </w:rPr>
              <w:t>345,2</w:t>
            </w:r>
          </w:p>
        </w:tc>
        <w:tc>
          <w:tcPr>
            <w:tcW w:w="2268" w:type="dxa"/>
            <w:shd w:val="clear" w:color="auto" w:fill="auto"/>
            <w:vAlign w:val="bottom"/>
          </w:tcPr>
          <w:p w14:paraId="3CFAE918" w14:textId="77777777" w:rsidR="00E70851" w:rsidRPr="0069281C" w:rsidRDefault="007B31B2" w:rsidP="00E70851">
            <w:pPr>
              <w:pStyle w:val="NoSpacing"/>
              <w:rPr>
                <w:lang w:val="en-US"/>
              </w:rPr>
            </w:pPr>
            <w:r w:rsidRPr="0069281C">
              <w:rPr>
                <w:lang w:val="en-US"/>
              </w:rPr>
              <w:t>73,8</w:t>
            </w:r>
          </w:p>
        </w:tc>
      </w:tr>
      <w:tr w:rsidR="00E70851" w:rsidRPr="0069281C" w14:paraId="2BC59D4D" w14:textId="77777777" w:rsidTr="00D74507">
        <w:trPr>
          <w:trHeight w:val="300"/>
        </w:trPr>
        <w:tc>
          <w:tcPr>
            <w:tcW w:w="4106" w:type="dxa"/>
            <w:gridSpan w:val="3"/>
            <w:shd w:val="clear" w:color="auto" w:fill="auto"/>
            <w:noWrap/>
            <w:hideMark/>
          </w:tcPr>
          <w:p w14:paraId="53F9FE0E" w14:textId="77777777" w:rsidR="00E70851" w:rsidRPr="0069281C" w:rsidRDefault="00E70851" w:rsidP="00E70851">
            <w:pPr>
              <w:pStyle w:val="NoSpacing"/>
              <w:jc w:val="right"/>
              <w:rPr>
                <w:b/>
                <w:bCs/>
                <w:lang w:val="en-US" w:eastAsia="is-IS"/>
              </w:rPr>
            </w:pPr>
            <w:r w:rsidRPr="0069281C">
              <w:rPr>
                <w:rFonts w:eastAsia="Times New Roman" w:cs="Times New Roman"/>
                <w:b/>
                <w:bCs/>
                <w:color w:val="000000"/>
                <w:lang w:val="en-US" w:eastAsia="is-IS"/>
              </w:rPr>
              <w:t>Average MW of RNA</w:t>
            </w:r>
          </w:p>
        </w:tc>
        <w:tc>
          <w:tcPr>
            <w:tcW w:w="2268" w:type="dxa"/>
            <w:shd w:val="clear" w:color="auto" w:fill="auto"/>
            <w:vAlign w:val="bottom"/>
          </w:tcPr>
          <w:p w14:paraId="3894491D" w14:textId="77777777" w:rsidR="00E70851" w:rsidRPr="0069281C" w:rsidRDefault="007B31B2" w:rsidP="00E70851">
            <w:pPr>
              <w:pStyle w:val="NoSpacing"/>
              <w:rPr>
                <w:b/>
                <w:lang w:val="en-US"/>
              </w:rPr>
            </w:pPr>
            <w:r w:rsidRPr="0069281C">
              <w:rPr>
                <w:b/>
                <w:lang w:val="en-US"/>
              </w:rPr>
              <w:t>321,6</w:t>
            </w:r>
          </w:p>
        </w:tc>
      </w:tr>
    </w:tbl>
    <w:p w14:paraId="57305C8D" w14:textId="77777777" w:rsidR="008B429A" w:rsidRPr="0069281C" w:rsidRDefault="005B08D4">
      <w:pPr>
        <w:rPr>
          <w:lang w:val="en-US"/>
        </w:rPr>
      </w:pPr>
      <w:r w:rsidRPr="0069281C">
        <w:rPr>
          <w:lang w:val="en-US"/>
        </w:rPr>
        <w:br/>
      </w:r>
      <w:r w:rsidR="008B429A" w:rsidRPr="0069281C">
        <w:rPr>
          <w:b/>
          <w:lang w:val="en-US"/>
        </w:rPr>
        <w:t>RNA reaction:</w:t>
      </w:r>
      <w:r w:rsidR="008B429A" w:rsidRPr="0069281C">
        <w:rPr>
          <w:b/>
          <w:lang w:val="en-US"/>
        </w:rPr>
        <w:br/>
      </w:r>
      <w:r w:rsidR="008B429A" w:rsidRPr="0069281C">
        <w:rPr>
          <w:lang w:val="en-US"/>
        </w:rPr>
        <w:t xml:space="preserve">0.710810743235 </w:t>
      </w:r>
      <w:proofErr w:type="spellStart"/>
      <w:r w:rsidR="008B429A" w:rsidRPr="0069281C">
        <w:rPr>
          <w:lang w:val="en-US"/>
        </w:rPr>
        <w:t>atp_c</w:t>
      </w:r>
      <w:proofErr w:type="spellEnd"/>
      <w:r w:rsidR="008B429A" w:rsidRPr="0069281C">
        <w:rPr>
          <w:lang w:val="en-US"/>
        </w:rPr>
        <w:t xml:space="preserve"> + 0.187747387186 </w:t>
      </w:r>
      <w:proofErr w:type="spellStart"/>
      <w:r w:rsidR="008B429A" w:rsidRPr="0069281C">
        <w:rPr>
          <w:lang w:val="en-US"/>
        </w:rPr>
        <w:t>ctp_c</w:t>
      </w:r>
      <w:proofErr w:type="spellEnd"/>
      <w:r w:rsidR="008B429A" w:rsidRPr="0069281C">
        <w:rPr>
          <w:lang w:val="en-US"/>
        </w:rPr>
        <w:t xml:space="preserve"> + 0.21245220899 </w:t>
      </w:r>
      <w:proofErr w:type="spellStart"/>
      <w:r w:rsidR="008B429A" w:rsidRPr="0069281C">
        <w:rPr>
          <w:lang w:val="en-US"/>
        </w:rPr>
        <w:t>gtp_c</w:t>
      </w:r>
      <w:proofErr w:type="spellEnd"/>
      <w:r w:rsidR="008B429A" w:rsidRPr="0069281C">
        <w:rPr>
          <w:lang w:val="en-US"/>
        </w:rPr>
        <w:t xml:space="preserve"> + 0.288989660589 </w:t>
      </w:r>
      <w:proofErr w:type="spellStart"/>
      <w:r w:rsidR="008B429A" w:rsidRPr="0069281C">
        <w:rPr>
          <w:lang w:val="en-US"/>
        </w:rPr>
        <w:t>utp_c</w:t>
      </w:r>
      <w:proofErr w:type="spellEnd"/>
      <w:r w:rsidR="008B429A" w:rsidRPr="0069281C">
        <w:rPr>
          <w:lang w:val="en-US"/>
        </w:rPr>
        <w:t xml:space="preserve"> --&gt; </w:t>
      </w:r>
      <w:proofErr w:type="spellStart"/>
      <w:r w:rsidR="008B429A" w:rsidRPr="0069281C">
        <w:rPr>
          <w:lang w:val="en-US"/>
        </w:rPr>
        <w:t>RNA_LRE_c</w:t>
      </w:r>
      <w:proofErr w:type="spellEnd"/>
      <w:r w:rsidR="008B429A" w:rsidRPr="0069281C">
        <w:rPr>
          <w:lang w:val="en-US"/>
        </w:rPr>
        <w:t xml:space="preserve"> + 0.4 </w:t>
      </w:r>
      <w:proofErr w:type="spellStart"/>
      <w:r w:rsidR="008B429A" w:rsidRPr="0069281C">
        <w:rPr>
          <w:lang w:val="en-US"/>
        </w:rPr>
        <w:t>adp_c</w:t>
      </w:r>
      <w:proofErr w:type="spellEnd"/>
      <w:r w:rsidR="008B429A" w:rsidRPr="0069281C">
        <w:rPr>
          <w:lang w:val="en-US"/>
        </w:rPr>
        <w:t xml:space="preserve"> + 0.4 </w:t>
      </w:r>
      <w:proofErr w:type="spellStart"/>
      <w:r w:rsidR="008B429A" w:rsidRPr="0069281C">
        <w:rPr>
          <w:lang w:val="en-US"/>
        </w:rPr>
        <w:t>h_c</w:t>
      </w:r>
      <w:proofErr w:type="spellEnd"/>
      <w:r w:rsidR="008B429A" w:rsidRPr="0069281C">
        <w:rPr>
          <w:lang w:val="en-US"/>
        </w:rPr>
        <w:t xml:space="preserve"> + 0.4 </w:t>
      </w:r>
      <w:proofErr w:type="spellStart"/>
      <w:r w:rsidR="008B429A" w:rsidRPr="0069281C">
        <w:rPr>
          <w:lang w:val="en-US"/>
        </w:rPr>
        <w:t>pi_c</w:t>
      </w:r>
      <w:proofErr w:type="spellEnd"/>
      <w:r w:rsidR="008B429A" w:rsidRPr="0069281C">
        <w:rPr>
          <w:lang w:val="en-US"/>
        </w:rPr>
        <w:t xml:space="preserve"> + </w:t>
      </w:r>
      <w:proofErr w:type="spellStart"/>
      <w:r w:rsidR="008B429A" w:rsidRPr="0069281C">
        <w:rPr>
          <w:lang w:val="en-US"/>
        </w:rPr>
        <w:t>ppi_c</w:t>
      </w:r>
      <w:proofErr w:type="spellEnd"/>
    </w:p>
    <w:p w14:paraId="50AFC9E9" w14:textId="00693CA3" w:rsidR="007C1B4A" w:rsidRPr="00B30E5E" w:rsidRDefault="006A5F90" w:rsidP="007C1B4A">
      <w:pPr>
        <w:rPr>
          <w:b/>
          <w:sz w:val="24"/>
          <w:lang w:val="en-US"/>
        </w:rPr>
      </w:pPr>
      <w:r w:rsidRPr="0069281C">
        <w:rPr>
          <w:b/>
          <w:sz w:val="24"/>
          <w:lang w:val="en-US"/>
        </w:rPr>
        <w:t>Lipids</w:t>
      </w:r>
      <w:r w:rsidR="00B30E5E">
        <w:rPr>
          <w:b/>
          <w:sz w:val="24"/>
          <w:lang w:val="en-US"/>
        </w:rPr>
        <w:t xml:space="preserve"> </w:t>
      </w:r>
      <w:r w:rsidR="00D77F9A">
        <w:rPr>
          <w:b/>
          <w:sz w:val="24"/>
          <w:lang w:val="en-US"/>
        </w:rPr>
        <w:fldChar w:fldCharType="begin" w:fldLock="1"/>
      </w:r>
      <w:r w:rsidR="00E11010">
        <w:rPr>
          <w:b/>
          <w:sz w:val="24"/>
          <w:lang w:val="en-US"/>
        </w:rPr>
        <w:instrText>ADDIN CSL_CITATION {"citationItems":[{"id":"ITEM-1","itemData":{"DOI":"10.1111/lam.12292","abstract":"Lactobacillus reuteri I5007 has well-documented adhesion properties and health benefits. Future industrial use of Lact. reuteri I5007 will require the development of effective fermentation procedures and high bacterial survival following drying. Therefore, this study was conducted to determine the impact of altering fermentation pH and temperature on the fatty acid composition of the bacterial membranes and subsequent survival of Lact. reuteri I5007 following freeze-drying. Initially, a response surface methodology was used to determine the optimal fermentation pH (5\u00017) and temperature (37°C), with regard to producing the maximum number of Lact. reuteti I5007 cells. However, when subjected to the optimal fermentation pH and temperature (control treatment), the subsequent survival of Lact. reuteri I5007 following freeze-drying was only 12\u000195%. Growth at a higher temperature (47°C) or at a neutral pH (pH 6\u00017) significantly increased the survival of Lact. reuteri I5007 following freeze-drying compared with the control. In contrast, an acidic pH (pH 4\u00017), or cold (27°C) and extremely cold (4°C) temperatures during fermentation significantly reduced Lact. reuteri I5007 survival following freezedrying. The fatty acid composition of the membranes of Lact. reuteri I5007 was altered by the different fermentation conditions tested. An increase in the ratio of unsaturated fatty acids (UFA) to saturated fatty acids (SFA) in the bacterial membrane was associated with higher survival of Lact. reuteri I5007. In conclusion, it appears that the use of a higher temperature (47°C) or neutral pH (6\u00017) during fermentation resulted in increased survival of Lact. reuteri I5007 following freeze-drying.","author":[{"dropping-particle":"","family":"Liu","given":"X T","non-dropping-particle":"","parse-names":false,"suffix":""},{"dropping-particle":"","family":"Hou","given":"C L","non-dropping-particle":"","parse-names":false,"suffix":""},{"dropping-particle":"","family":"Zhang","given":"J","non-dropping-particle":"","parse-names":false,"suffix":""},{"dropping-particle":"","family":"Zeng","given":"X F","non-dropping-particle":"","parse-names":false,"suffix":""},{"dropping-particle":"","family":"Qiao","given":"S Y","non-dropping-particle":"","parse-names":false,"suffix":""}],"container-title":"Letters in Applied Microbiology","id":"ITEM-1","issued":{"date-parts":[["2014"]]},"page":"398-403","title":"Fermentation conditions influence the fatty acid composition of the membranes of Lactobacillus reuteri I5007 and its survival following freeze-drying","type":"article-journal","volume":"59"},"uris":["http://www.mendeley.com/documents/?uuid=7adaefc3-e871-4a26-b2fd-84ec4adf534b"]}],"mendeley":{"formattedCitation":"(Liu, Hou, Zhang, Zeng, &amp; Qiao, 2014)","plainTextFormattedCitation":"(Liu, Hou, Zhang, Zeng, &amp; Qiao, 2014)","previouslyFormattedCitation":"[3]"},"properties":{"noteIndex":0},"schema":"https://github.com/citation-style-language/schema/raw/master/csl-citation.json"}</w:instrText>
      </w:r>
      <w:r w:rsidR="00D77F9A">
        <w:rPr>
          <w:b/>
          <w:sz w:val="24"/>
          <w:lang w:val="en-US"/>
        </w:rPr>
        <w:fldChar w:fldCharType="separate"/>
      </w:r>
      <w:r w:rsidR="00E11010" w:rsidRPr="00E11010">
        <w:rPr>
          <w:noProof/>
          <w:sz w:val="24"/>
          <w:lang w:val="en-US"/>
        </w:rPr>
        <w:t>(Liu, Hou, Zhang, Zeng, &amp; Qiao, 2014)</w:t>
      </w:r>
      <w:r w:rsidR="00D77F9A">
        <w:rPr>
          <w:b/>
          <w:sz w:val="24"/>
          <w:lang w:val="en-US"/>
        </w:rPr>
        <w:fldChar w:fldCharType="end"/>
      </w: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960"/>
        <w:gridCol w:w="1339"/>
        <w:gridCol w:w="992"/>
        <w:gridCol w:w="2127"/>
      </w:tblGrid>
      <w:tr w:rsidR="006F5F2E" w:rsidRPr="0069281C" w14:paraId="3B50E5B1" w14:textId="77777777" w:rsidTr="006F5F2E">
        <w:trPr>
          <w:trHeight w:val="300"/>
        </w:trPr>
        <w:tc>
          <w:tcPr>
            <w:tcW w:w="1240" w:type="dxa"/>
            <w:shd w:val="clear" w:color="auto" w:fill="auto"/>
            <w:noWrap/>
            <w:vAlign w:val="bottom"/>
            <w:hideMark/>
          </w:tcPr>
          <w:p w14:paraId="02E1DFAB" w14:textId="77777777" w:rsidR="006F5F2E" w:rsidRPr="0069281C" w:rsidRDefault="006F5F2E" w:rsidP="006F5F2E">
            <w:pPr>
              <w:spacing w:after="0" w:line="240" w:lineRule="auto"/>
              <w:rPr>
                <w:rFonts w:eastAsia="Times New Roman" w:cs="Times New Roman"/>
                <w:b/>
                <w:color w:val="000000"/>
                <w:lang w:val="en-US" w:eastAsia="is-IS"/>
              </w:rPr>
            </w:pPr>
            <w:r w:rsidRPr="0069281C">
              <w:rPr>
                <w:rFonts w:eastAsia="Times New Roman" w:cs="Times New Roman"/>
                <w:b/>
                <w:color w:val="000000"/>
                <w:lang w:val="en-US" w:eastAsia="is-IS"/>
              </w:rPr>
              <w:t>Fatty acid</w:t>
            </w:r>
          </w:p>
        </w:tc>
        <w:tc>
          <w:tcPr>
            <w:tcW w:w="960" w:type="dxa"/>
            <w:shd w:val="clear" w:color="auto" w:fill="auto"/>
            <w:noWrap/>
            <w:vAlign w:val="bottom"/>
            <w:hideMark/>
          </w:tcPr>
          <w:p w14:paraId="2E4E4571" w14:textId="623CC543" w:rsidR="006F5F2E" w:rsidRPr="0069281C" w:rsidRDefault="006F5F2E" w:rsidP="006F5F2E">
            <w:pPr>
              <w:spacing w:after="0" w:line="240" w:lineRule="auto"/>
              <w:rPr>
                <w:rFonts w:eastAsia="Times New Roman" w:cs="Times New Roman"/>
                <w:b/>
                <w:color w:val="000000"/>
                <w:lang w:val="en-US" w:eastAsia="is-IS"/>
              </w:rPr>
            </w:pPr>
            <w:r w:rsidRPr="0069281C">
              <w:rPr>
                <w:rFonts w:eastAsia="Times New Roman" w:cs="Times New Roman"/>
                <w:b/>
                <w:color w:val="000000"/>
                <w:lang w:val="en-US" w:eastAsia="is-IS"/>
              </w:rPr>
              <w:t>Ratio</w:t>
            </w:r>
          </w:p>
        </w:tc>
        <w:tc>
          <w:tcPr>
            <w:tcW w:w="1339" w:type="dxa"/>
            <w:shd w:val="clear" w:color="auto" w:fill="auto"/>
            <w:noWrap/>
            <w:vAlign w:val="bottom"/>
            <w:hideMark/>
          </w:tcPr>
          <w:p w14:paraId="0BCABAE0" w14:textId="77777777" w:rsidR="006F5F2E" w:rsidRPr="0069281C" w:rsidRDefault="006F5F2E" w:rsidP="006F5F2E">
            <w:pPr>
              <w:spacing w:after="0" w:line="240" w:lineRule="auto"/>
              <w:rPr>
                <w:rFonts w:eastAsia="Times New Roman" w:cs="Times New Roman"/>
                <w:b/>
                <w:color w:val="000000"/>
                <w:lang w:val="en-US" w:eastAsia="is-IS"/>
              </w:rPr>
            </w:pPr>
            <w:r w:rsidRPr="0069281C">
              <w:rPr>
                <w:rFonts w:eastAsia="Times New Roman" w:cs="Times New Roman"/>
                <w:b/>
                <w:color w:val="000000"/>
                <w:lang w:val="en-US" w:eastAsia="is-IS"/>
              </w:rPr>
              <w:t>MW (g mol</w:t>
            </w:r>
            <w:r w:rsidRPr="0069281C">
              <w:rPr>
                <w:rFonts w:eastAsia="Times New Roman" w:cs="Times New Roman"/>
                <w:b/>
                <w:color w:val="000000"/>
                <w:vertAlign w:val="superscript"/>
                <w:lang w:val="en-US" w:eastAsia="is-IS"/>
              </w:rPr>
              <w:t>-1</w:t>
            </w:r>
            <w:r w:rsidRPr="0069281C">
              <w:rPr>
                <w:rFonts w:eastAsia="Times New Roman" w:cs="Times New Roman"/>
                <w:b/>
                <w:color w:val="000000"/>
                <w:lang w:val="en-US" w:eastAsia="is-IS"/>
              </w:rPr>
              <w:t>)</w:t>
            </w:r>
          </w:p>
        </w:tc>
        <w:tc>
          <w:tcPr>
            <w:tcW w:w="992" w:type="dxa"/>
            <w:shd w:val="clear" w:color="auto" w:fill="auto"/>
            <w:noWrap/>
            <w:vAlign w:val="bottom"/>
            <w:hideMark/>
          </w:tcPr>
          <w:p w14:paraId="7B6FDE0A" w14:textId="77777777" w:rsidR="006F5F2E" w:rsidRPr="0069281C" w:rsidRDefault="006F5F2E" w:rsidP="006F5F2E">
            <w:pPr>
              <w:spacing w:after="0" w:line="240" w:lineRule="auto"/>
              <w:rPr>
                <w:rFonts w:eastAsia="Times New Roman" w:cs="Times New Roman"/>
                <w:b/>
                <w:color w:val="000000"/>
                <w:lang w:val="en-US" w:eastAsia="is-IS"/>
              </w:rPr>
            </w:pPr>
            <w:r w:rsidRPr="0069281C">
              <w:rPr>
                <w:rFonts w:eastAsia="Times New Roman" w:cs="Times New Roman"/>
                <w:b/>
                <w:color w:val="000000"/>
                <w:lang w:val="en-US" w:eastAsia="is-IS"/>
              </w:rPr>
              <w:t>Formula</w:t>
            </w:r>
          </w:p>
        </w:tc>
        <w:tc>
          <w:tcPr>
            <w:tcW w:w="2127" w:type="dxa"/>
            <w:shd w:val="clear" w:color="auto" w:fill="auto"/>
            <w:noWrap/>
            <w:vAlign w:val="bottom"/>
            <w:hideMark/>
          </w:tcPr>
          <w:p w14:paraId="0DA62E75" w14:textId="77777777" w:rsidR="006F5F2E" w:rsidRPr="0069281C" w:rsidRDefault="006F5F2E" w:rsidP="006F5F2E">
            <w:pPr>
              <w:spacing w:after="0" w:line="240" w:lineRule="auto"/>
              <w:rPr>
                <w:rFonts w:eastAsia="Times New Roman" w:cs="Times New Roman"/>
                <w:b/>
                <w:color w:val="000000"/>
                <w:lang w:val="en-US" w:eastAsia="is-IS"/>
              </w:rPr>
            </w:pPr>
            <w:r w:rsidRPr="0069281C">
              <w:rPr>
                <w:rFonts w:eastAsia="Times New Roman" w:cs="Times New Roman"/>
                <w:b/>
                <w:color w:val="000000"/>
                <w:lang w:val="en-US" w:eastAsia="is-IS"/>
              </w:rPr>
              <w:t>MW * Ratio (g mol</w:t>
            </w:r>
            <w:r w:rsidRPr="0069281C">
              <w:rPr>
                <w:rFonts w:eastAsia="Times New Roman" w:cs="Times New Roman"/>
                <w:b/>
                <w:color w:val="000000"/>
                <w:vertAlign w:val="superscript"/>
                <w:lang w:val="en-US" w:eastAsia="is-IS"/>
              </w:rPr>
              <w:t>-1</w:t>
            </w:r>
            <w:r w:rsidRPr="0069281C">
              <w:rPr>
                <w:rFonts w:eastAsia="Times New Roman" w:cs="Times New Roman"/>
                <w:b/>
                <w:color w:val="000000"/>
                <w:lang w:val="en-US" w:eastAsia="is-IS"/>
              </w:rPr>
              <w:t>)</w:t>
            </w:r>
          </w:p>
        </w:tc>
      </w:tr>
      <w:tr w:rsidR="006F5F2E" w:rsidRPr="0069281C" w14:paraId="1D72806E" w14:textId="77777777" w:rsidTr="006F5F2E">
        <w:trPr>
          <w:trHeight w:val="300"/>
        </w:trPr>
        <w:tc>
          <w:tcPr>
            <w:tcW w:w="1240" w:type="dxa"/>
            <w:shd w:val="clear" w:color="auto" w:fill="auto"/>
            <w:noWrap/>
            <w:vAlign w:val="bottom"/>
            <w:hideMark/>
          </w:tcPr>
          <w:p w14:paraId="29889111"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C14:0</w:t>
            </w:r>
          </w:p>
        </w:tc>
        <w:tc>
          <w:tcPr>
            <w:tcW w:w="960" w:type="dxa"/>
            <w:shd w:val="clear" w:color="auto" w:fill="auto"/>
            <w:noWrap/>
            <w:vAlign w:val="bottom"/>
            <w:hideMark/>
          </w:tcPr>
          <w:p w14:paraId="773203E0"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0,0687</w:t>
            </w:r>
          </w:p>
        </w:tc>
        <w:tc>
          <w:tcPr>
            <w:tcW w:w="1339" w:type="dxa"/>
            <w:shd w:val="clear" w:color="auto" w:fill="auto"/>
            <w:noWrap/>
            <w:vAlign w:val="bottom"/>
            <w:hideMark/>
          </w:tcPr>
          <w:p w14:paraId="54CBAC3F"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228,38</w:t>
            </w:r>
          </w:p>
        </w:tc>
        <w:tc>
          <w:tcPr>
            <w:tcW w:w="992" w:type="dxa"/>
            <w:shd w:val="clear" w:color="auto" w:fill="auto"/>
            <w:noWrap/>
            <w:vAlign w:val="bottom"/>
            <w:hideMark/>
          </w:tcPr>
          <w:p w14:paraId="249BE11A"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14</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28</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0B1771B9"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15,68971</w:t>
            </w:r>
          </w:p>
        </w:tc>
      </w:tr>
      <w:tr w:rsidR="006F5F2E" w:rsidRPr="0069281C" w14:paraId="5CA28783" w14:textId="77777777" w:rsidTr="006F5F2E">
        <w:trPr>
          <w:trHeight w:val="300"/>
        </w:trPr>
        <w:tc>
          <w:tcPr>
            <w:tcW w:w="1240" w:type="dxa"/>
            <w:shd w:val="clear" w:color="auto" w:fill="auto"/>
            <w:noWrap/>
            <w:vAlign w:val="bottom"/>
            <w:hideMark/>
          </w:tcPr>
          <w:p w14:paraId="4CB5B49B"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C16:0</w:t>
            </w:r>
          </w:p>
        </w:tc>
        <w:tc>
          <w:tcPr>
            <w:tcW w:w="960" w:type="dxa"/>
            <w:shd w:val="clear" w:color="auto" w:fill="auto"/>
            <w:noWrap/>
            <w:vAlign w:val="bottom"/>
            <w:hideMark/>
          </w:tcPr>
          <w:p w14:paraId="71DE846F"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0,2566</w:t>
            </w:r>
          </w:p>
        </w:tc>
        <w:tc>
          <w:tcPr>
            <w:tcW w:w="1339" w:type="dxa"/>
            <w:shd w:val="clear" w:color="auto" w:fill="auto"/>
            <w:noWrap/>
            <w:vAlign w:val="bottom"/>
            <w:hideMark/>
          </w:tcPr>
          <w:p w14:paraId="008B8645"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256,43</w:t>
            </w:r>
          </w:p>
        </w:tc>
        <w:tc>
          <w:tcPr>
            <w:tcW w:w="992" w:type="dxa"/>
            <w:shd w:val="clear" w:color="auto" w:fill="auto"/>
            <w:noWrap/>
            <w:vAlign w:val="bottom"/>
            <w:hideMark/>
          </w:tcPr>
          <w:p w14:paraId="03AAC6EF"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16</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32</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499E6557"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65,79994</w:t>
            </w:r>
          </w:p>
        </w:tc>
      </w:tr>
      <w:tr w:rsidR="006F5F2E" w:rsidRPr="0069281C" w14:paraId="56FD55A2" w14:textId="77777777" w:rsidTr="006F5F2E">
        <w:trPr>
          <w:trHeight w:val="300"/>
        </w:trPr>
        <w:tc>
          <w:tcPr>
            <w:tcW w:w="1240" w:type="dxa"/>
            <w:shd w:val="clear" w:color="auto" w:fill="auto"/>
            <w:noWrap/>
            <w:vAlign w:val="bottom"/>
            <w:hideMark/>
          </w:tcPr>
          <w:p w14:paraId="6235A36D"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C16:1</w:t>
            </w:r>
          </w:p>
        </w:tc>
        <w:tc>
          <w:tcPr>
            <w:tcW w:w="960" w:type="dxa"/>
            <w:shd w:val="clear" w:color="auto" w:fill="auto"/>
            <w:noWrap/>
            <w:vAlign w:val="bottom"/>
            <w:hideMark/>
          </w:tcPr>
          <w:p w14:paraId="3ECB6996"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0,0258</w:t>
            </w:r>
          </w:p>
        </w:tc>
        <w:tc>
          <w:tcPr>
            <w:tcW w:w="1339" w:type="dxa"/>
            <w:shd w:val="clear" w:color="auto" w:fill="auto"/>
            <w:noWrap/>
            <w:vAlign w:val="bottom"/>
            <w:hideMark/>
          </w:tcPr>
          <w:p w14:paraId="1C9E62EE"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254,41</w:t>
            </w:r>
          </w:p>
        </w:tc>
        <w:tc>
          <w:tcPr>
            <w:tcW w:w="992" w:type="dxa"/>
            <w:shd w:val="clear" w:color="auto" w:fill="auto"/>
            <w:noWrap/>
            <w:vAlign w:val="bottom"/>
            <w:hideMark/>
          </w:tcPr>
          <w:p w14:paraId="03460A39"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16</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30</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3102E44E"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6,563778</w:t>
            </w:r>
          </w:p>
        </w:tc>
      </w:tr>
      <w:tr w:rsidR="006F5F2E" w:rsidRPr="0069281C" w14:paraId="53DB754F" w14:textId="77777777" w:rsidTr="006F5F2E">
        <w:trPr>
          <w:trHeight w:val="300"/>
        </w:trPr>
        <w:tc>
          <w:tcPr>
            <w:tcW w:w="1240" w:type="dxa"/>
            <w:shd w:val="clear" w:color="auto" w:fill="auto"/>
            <w:noWrap/>
            <w:vAlign w:val="bottom"/>
            <w:hideMark/>
          </w:tcPr>
          <w:p w14:paraId="4FCB1BC4"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C18:0</w:t>
            </w:r>
          </w:p>
        </w:tc>
        <w:tc>
          <w:tcPr>
            <w:tcW w:w="960" w:type="dxa"/>
            <w:shd w:val="clear" w:color="auto" w:fill="auto"/>
            <w:noWrap/>
            <w:vAlign w:val="bottom"/>
            <w:hideMark/>
          </w:tcPr>
          <w:p w14:paraId="3DF507F8"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0,075</w:t>
            </w:r>
          </w:p>
        </w:tc>
        <w:tc>
          <w:tcPr>
            <w:tcW w:w="1339" w:type="dxa"/>
            <w:shd w:val="clear" w:color="auto" w:fill="auto"/>
            <w:noWrap/>
            <w:vAlign w:val="bottom"/>
            <w:hideMark/>
          </w:tcPr>
          <w:p w14:paraId="7C3F7FCB"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284,48</w:t>
            </w:r>
          </w:p>
        </w:tc>
        <w:tc>
          <w:tcPr>
            <w:tcW w:w="992" w:type="dxa"/>
            <w:shd w:val="clear" w:color="auto" w:fill="auto"/>
            <w:noWrap/>
            <w:vAlign w:val="bottom"/>
            <w:hideMark/>
          </w:tcPr>
          <w:p w14:paraId="2B16929F"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18</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36</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1C03AB9D"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21,336</w:t>
            </w:r>
          </w:p>
        </w:tc>
      </w:tr>
      <w:tr w:rsidR="006F5F2E" w:rsidRPr="0069281C" w14:paraId="591AAF57" w14:textId="77777777" w:rsidTr="006F5F2E">
        <w:trPr>
          <w:trHeight w:val="300"/>
        </w:trPr>
        <w:tc>
          <w:tcPr>
            <w:tcW w:w="1240" w:type="dxa"/>
            <w:shd w:val="clear" w:color="auto" w:fill="auto"/>
            <w:noWrap/>
            <w:vAlign w:val="bottom"/>
            <w:hideMark/>
          </w:tcPr>
          <w:p w14:paraId="25303849"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C18:1</w:t>
            </w:r>
          </w:p>
        </w:tc>
        <w:tc>
          <w:tcPr>
            <w:tcW w:w="960" w:type="dxa"/>
            <w:shd w:val="clear" w:color="auto" w:fill="auto"/>
            <w:noWrap/>
            <w:vAlign w:val="bottom"/>
            <w:hideMark/>
          </w:tcPr>
          <w:p w14:paraId="45EC012A"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0,1591</w:t>
            </w:r>
          </w:p>
        </w:tc>
        <w:tc>
          <w:tcPr>
            <w:tcW w:w="1339" w:type="dxa"/>
            <w:shd w:val="clear" w:color="auto" w:fill="auto"/>
            <w:noWrap/>
            <w:vAlign w:val="bottom"/>
            <w:hideMark/>
          </w:tcPr>
          <w:p w14:paraId="09F58E64"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282,47</w:t>
            </w:r>
          </w:p>
        </w:tc>
        <w:tc>
          <w:tcPr>
            <w:tcW w:w="992" w:type="dxa"/>
            <w:shd w:val="clear" w:color="auto" w:fill="auto"/>
            <w:noWrap/>
            <w:vAlign w:val="bottom"/>
            <w:hideMark/>
          </w:tcPr>
          <w:p w14:paraId="2C64358C"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18</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34</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1B66FD93"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44,94098</w:t>
            </w:r>
          </w:p>
        </w:tc>
      </w:tr>
      <w:tr w:rsidR="006F5F2E" w:rsidRPr="0069281C" w14:paraId="0A7E1100" w14:textId="77777777" w:rsidTr="006F5F2E">
        <w:trPr>
          <w:trHeight w:val="300"/>
        </w:trPr>
        <w:tc>
          <w:tcPr>
            <w:tcW w:w="1240" w:type="dxa"/>
            <w:shd w:val="clear" w:color="auto" w:fill="auto"/>
            <w:noWrap/>
            <w:vAlign w:val="bottom"/>
            <w:hideMark/>
          </w:tcPr>
          <w:p w14:paraId="6FC58C9F"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C18:2</w:t>
            </w:r>
          </w:p>
        </w:tc>
        <w:tc>
          <w:tcPr>
            <w:tcW w:w="960" w:type="dxa"/>
            <w:shd w:val="clear" w:color="auto" w:fill="auto"/>
            <w:noWrap/>
            <w:vAlign w:val="bottom"/>
            <w:hideMark/>
          </w:tcPr>
          <w:p w14:paraId="08B09ECF"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0,3519</w:t>
            </w:r>
          </w:p>
        </w:tc>
        <w:tc>
          <w:tcPr>
            <w:tcW w:w="1339" w:type="dxa"/>
            <w:shd w:val="clear" w:color="auto" w:fill="auto"/>
            <w:noWrap/>
            <w:vAlign w:val="bottom"/>
            <w:hideMark/>
          </w:tcPr>
          <w:p w14:paraId="7AC9262A"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280,45</w:t>
            </w:r>
          </w:p>
        </w:tc>
        <w:tc>
          <w:tcPr>
            <w:tcW w:w="992" w:type="dxa"/>
            <w:shd w:val="clear" w:color="auto" w:fill="auto"/>
            <w:noWrap/>
            <w:vAlign w:val="bottom"/>
            <w:hideMark/>
          </w:tcPr>
          <w:p w14:paraId="11CA1797"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18</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32</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10F7B8ED"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98,69036</w:t>
            </w:r>
          </w:p>
        </w:tc>
      </w:tr>
      <w:tr w:rsidR="006F5F2E" w:rsidRPr="0069281C" w14:paraId="7CB90059" w14:textId="77777777" w:rsidTr="006F5F2E">
        <w:trPr>
          <w:trHeight w:val="300"/>
        </w:trPr>
        <w:tc>
          <w:tcPr>
            <w:tcW w:w="1240" w:type="dxa"/>
            <w:shd w:val="clear" w:color="auto" w:fill="auto"/>
            <w:noWrap/>
            <w:vAlign w:val="bottom"/>
            <w:hideMark/>
          </w:tcPr>
          <w:p w14:paraId="215EE99F"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C18:3</w:t>
            </w:r>
          </w:p>
        </w:tc>
        <w:tc>
          <w:tcPr>
            <w:tcW w:w="960" w:type="dxa"/>
            <w:shd w:val="clear" w:color="auto" w:fill="auto"/>
            <w:noWrap/>
            <w:vAlign w:val="bottom"/>
            <w:hideMark/>
          </w:tcPr>
          <w:p w14:paraId="51352A37"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0,0418</w:t>
            </w:r>
          </w:p>
        </w:tc>
        <w:tc>
          <w:tcPr>
            <w:tcW w:w="1339" w:type="dxa"/>
            <w:shd w:val="clear" w:color="auto" w:fill="auto"/>
            <w:noWrap/>
            <w:vAlign w:val="bottom"/>
            <w:hideMark/>
          </w:tcPr>
          <w:p w14:paraId="7FA15552"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278,44</w:t>
            </w:r>
          </w:p>
        </w:tc>
        <w:tc>
          <w:tcPr>
            <w:tcW w:w="992" w:type="dxa"/>
            <w:shd w:val="clear" w:color="auto" w:fill="auto"/>
            <w:noWrap/>
            <w:vAlign w:val="bottom"/>
            <w:hideMark/>
          </w:tcPr>
          <w:p w14:paraId="6B5326B8"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18</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30</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70014B77"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11,63879</w:t>
            </w:r>
          </w:p>
        </w:tc>
      </w:tr>
      <w:tr w:rsidR="006F5F2E" w:rsidRPr="0069281C" w14:paraId="417927F7" w14:textId="77777777" w:rsidTr="006F5F2E">
        <w:trPr>
          <w:trHeight w:val="315"/>
        </w:trPr>
        <w:tc>
          <w:tcPr>
            <w:tcW w:w="1240" w:type="dxa"/>
            <w:shd w:val="clear" w:color="auto" w:fill="auto"/>
            <w:noWrap/>
            <w:vAlign w:val="bottom"/>
            <w:hideMark/>
          </w:tcPr>
          <w:p w14:paraId="604F5ABB"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cyc19:0</w:t>
            </w:r>
          </w:p>
        </w:tc>
        <w:tc>
          <w:tcPr>
            <w:tcW w:w="960" w:type="dxa"/>
            <w:shd w:val="clear" w:color="auto" w:fill="auto"/>
            <w:noWrap/>
            <w:vAlign w:val="bottom"/>
            <w:hideMark/>
          </w:tcPr>
          <w:p w14:paraId="5F589046"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0,0211</w:t>
            </w:r>
          </w:p>
        </w:tc>
        <w:tc>
          <w:tcPr>
            <w:tcW w:w="1339" w:type="dxa"/>
            <w:shd w:val="clear" w:color="auto" w:fill="auto"/>
            <w:noWrap/>
            <w:vAlign w:val="bottom"/>
            <w:hideMark/>
          </w:tcPr>
          <w:p w14:paraId="63A3AD30"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296,49</w:t>
            </w:r>
          </w:p>
        </w:tc>
        <w:tc>
          <w:tcPr>
            <w:tcW w:w="992" w:type="dxa"/>
            <w:shd w:val="clear" w:color="auto" w:fill="auto"/>
            <w:noWrap/>
            <w:vAlign w:val="bottom"/>
            <w:hideMark/>
          </w:tcPr>
          <w:p w14:paraId="1937E986" w14:textId="77777777" w:rsidR="006F5F2E" w:rsidRPr="0069281C" w:rsidRDefault="006F5F2E" w:rsidP="006F5F2E">
            <w:pPr>
              <w:spacing w:after="0" w:line="240" w:lineRule="auto"/>
              <w:rPr>
                <w:rFonts w:eastAsia="Times New Roman" w:cs="Times New Roman"/>
                <w:color w:val="000000"/>
                <w:lang w:val="en-US" w:eastAsia="is-IS"/>
              </w:rPr>
            </w:pPr>
            <w:r w:rsidRPr="0069281C">
              <w:rPr>
                <w:rFonts w:eastAsia="Times New Roman" w:cs="Times New Roman"/>
                <w:color w:val="000000"/>
                <w:lang w:val="en-US" w:eastAsia="is-IS"/>
              </w:rPr>
              <w:t>C</w:t>
            </w:r>
            <w:r w:rsidRPr="0069281C">
              <w:rPr>
                <w:rFonts w:eastAsia="Times New Roman" w:cs="Arial"/>
                <w:color w:val="000000"/>
                <w:vertAlign w:val="subscript"/>
                <w:lang w:val="en-US" w:eastAsia="is-IS"/>
              </w:rPr>
              <w:t>19</w:t>
            </w:r>
            <w:r w:rsidRPr="0069281C">
              <w:rPr>
                <w:rFonts w:eastAsia="Times New Roman" w:cs="Arial"/>
                <w:color w:val="000000"/>
                <w:lang w:val="en-US" w:eastAsia="is-IS"/>
              </w:rPr>
              <w:t>H</w:t>
            </w:r>
            <w:r w:rsidRPr="0069281C">
              <w:rPr>
                <w:rFonts w:eastAsia="Times New Roman" w:cs="Arial"/>
                <w:color w:val="000000"/>
                <w:vertAlign w:val="subscript"/>
                <w:lang w:val="en-US" w:eastAsia="is-IS"/>
              </w:rPr>
              <w:t>36</w:t>
            </w:r>
            <w:r w:rsidRPr="0069281C">
              <w:rPr>
                <w:rFonts w:eastAsia="Times New Roman" w:cs="Arial"/>
                <w:color w:val="000000"/>
                <w:lang w:val="en-US" w:eastAsia="is-IS"/>
              </w:rPr>
              <w:t>O</w:t>
            </w:r>
            <w:r w:rsidRPr="0069281C">
              <w:rPr>
                <w:rFonts w:eastAsia="Times New Roman" w:cs="Arial"/>
                <w:color w:val="000000"/>
                <w:vertAlign w:val="subscript"/>
                <w:lang w:val="en-US" w:eastAsia="is-IS"/>
              </w:rPr>
              <w:t>2</w:t>
            </w:r>
          </w:p>
        </w:tc>
        <w:tc>
          <w:tcPr>
            <w:tcW w:w="2127" w:type="dxa"/>
            <w:shd w:val="clear" w:color="auto" w:fill="auto"/>
            <w:noWrap/>
            <w:vAlign w:val="bottom"/>
            <w:hideMark/>
          </w:tcPr>
          <w:p w14:paraId="1106806A" w14:textId="77777777" w:rsidR="006F5F2E" w:rsidRPr="0069281C" w:rsidRDefault="006F5F2E" w:rsidP="006F5F2E">
            <w:pPr>
              <w:spacing w:after="0" w:line="240" w:lineRule="auto"/>
              <w:jc w:val="right"/>
              <w:rPr>
                <w:rFonts w:eastAsia="Times New Roman" w:cs="Times New Roman"/>
                <w:color w:val="000000"/>
                <w:lang w:val="en-US" w:eastAsia="is-IS"/>
              </w:rPr>
            </w:pPr>
            <w:r w:rsidRPr="0069281C">
              <w:rPr>
                <w:rFonts w:eastAsia="Times New Roman" w:cs="Times New Roman"/>
                <w:color w:val="000000"/>
                <w:lang w:val="en-US" w:eastAsia="is-IS"/>
              </w:rPr>
              <w:t>6,255939</w:t>
            </w:r>
          </w:p>
        </w:tc>
      </w:tr>
      <w:tr w:rsidR="006F5F2E" w:rsidRPr="0069281C" w14:paraId="3CF6BA30" w14:textId="77777777" w:rsidTr="006F5F2E">
        <w:trPr>
          <w:trHeight w:val="300"/>
        </w:trPr>
        <w:tc>
          <w:tcPr>
            <w:tcW w:w="4531" w:type="dxa"/>
            <w:gridSpan w:val="4"/>
            <w:shd w:val="clear" w:color="auto" w:fill="auto"/>
            <w:noWrap/>
            <w:vAlign w:val="bottom"/>
            <w:hideMark/>
          </w:tcPr>
          <w:p w14:paraId="5FFF172E" w14:textId="77777777" w:rsidR="006F5F2E" w:rsidRPr="0069281C" w:rsidRDefault="006F5F2E" w:rsidP="006F5F2E">
            <w:pPr>
              <w:spacing w:after="0" w:line="240" w:lineRule="auto"/>
              <w:jc w:val="right"/>
              <w:rPr>
                <w:rFonts w:eastAsia="Times New Roman" w:cs="Times New Roman"/>
                <w:b/>
                <w:bCs/>
                <w:color w:val="000000"/>
                <w:lang w:val="en-US" w:eastAsia="is-IS"/>
              </w:rPr>
            </w:pPr>
            <w:r w:rsidRPr="0069281C">
              <w:rPr>
                <w:rFonts w:eastAsia="Times New Roman" w:cs="Times New Roman"/>
                <w:b/>
                <w:bCs/>
                <w:color w:val="000000"/>
                <w:lang w:val="en-US" w:eastAsia="is-IS"/>
              </w:rPr>
              <w:t>Average MW of fatty acids</w:t>
            </w:r>
          </w:p>
        </w:tc>
        <w:tc>
          <w:tcPr>
            <w:tcW w:w="2127" w:type="dxa"/>
            <w:shd w:val="clear" w:color="auto" w:fill="auto"/>
            <w:noWrap/>
            <w:vAlign w:val="bottom"/>
            <w:hideMark/>
          </w:tcPr>
          <w:p w14:paraId="5829217E" w14:textId="77777777" w:rsidR="006F5F2E" w:rsidRPr="0069281C" w:rsidRDefault="006F5F2E" w:rsidP="006F5F2E">
            <w:pPr>
              <w:spacing w:after="0" w:line="240" w:lineRule="auto"/>
              <w:jc w:val="right"/>
              <w:rPr>
                <w:rFonts w:eastAsia="Times New Roman" w:cs="Times New Roman"/>
                <w:b/>
                <w:bCs/>
                <w:color w:val="000000"/>
                <w:lang w:val="en-US" w:eastAsia="is-IS"/>
              </w:rPr>
            </w:pPr>
            <w:r w:rsidRPr="0069281C">
              <w:rPr>
                <w:rFonts w:eastAsia="Times New Roman" w:cs="Times New Roman"/>
                <w:b/>
                <w:bCs/>
                <w:color w:val="000000"/>
                <w:lang w:val="en-US" w:eastAsia="is-IS"/>
              </w:rPr>
              <w:t>270,9155</w:t>
            </w:r>
          </w:p>
        </w:tc>
      </w:tr>
    </w:tbl>
    <w:p w14:paraId="60518DFD" w14:textId="77777777" w:rsidR="008B429A" w:rsidRPr="0069281C" w:rsidRDefault="005B08D4" w:rsidP="007C1B4A">
      <w:pPr>
        <w:rPr>
          <w:lang w:val="en-US"/>
        </w:rPr>
      </w:pPr>
      <w:r w:rsidRPr="0069281C">
        <w:rPr>
          <w:lang w:val="en-US"/>
        </w:rPr>
        <w:lastRenderedPageBreak/>
        <w:br/>
      </w:r>
      <w:r w:rsidR="00794C69" w:rsidRPr="0069281C">
        <w:rPr>
          <w:b/>
          <w:lang w:val="en-US"/>
        </w:rPr>
        <w:t>Fatty acids:</w:t>
      </w:r>
      <w:r w:rsidR="00794C69" w:rsidRPr="0069281C">
        <w:rPr>
          <w:lang w:val="en-US"/>
        </w:rPr>
        <w:br/>
      </w:r>
      <w:r w:rsidR="008B429A" w:rsidRPr="0069281C">
        <w:rPr>
          <w:lang w:val="en-US"/>
        </w:rPr>
        <w:t xml:space="preserve">agly3p_LRE_c + 0.0211 </w:t>
      </w:r>
      <w:proofErr w:type="spellStart"/>
      <w:r w:rsidR="008B429A" w:rsidRPr="0069281C">
        <w:rPr>
          <w:lang w:val="en-US"/>
        </w:rPr>
        <w:t>cpocdacp_c</w:t>
      </w:r>
      <w:proofErr w:type="spellEnd"/>
      <w:r w:rsidR="008B429A" w:rsidRPr="0069281C">
        <w:rPr>
          <w:lang w:val="en-US"/>
        </w:rPr>
        <w:t xml:space="preserve"> + 0.0258 </w:t>
      </w:r>
      <w:proofErr w:type="spellStart"/>
      <w:r w:rsidR="008B429A" w:rsidRPr="0069281C">
        <w:rPr>
          <w:lang w:val="en-US"/>
        </w:rPr>
        <w:t>hdeACP_c</w:t>
      </w:r>
      <w:proofErr w:type="spellEnd"/>
      <w:r w:rsidR="008B429A" w:rsidRPr="0069281C">
        <w:rPr>
          <w:lang w:val="en-US"/>
        </w:rPr>
        <w:t xml:space="preserve"> + 0.075 </w:t>
      </w:r>
      <w:proofErr w:type="spellStart"/>
      <w:r w:rsidR="008B429A" w:rsidRPr="0069281C">
        <w:rPr>
          <w:lang w:val="en-US"/>
        </w:rPr>
        <w:t>ocdacp_c</w:t>
      </w:r>
      <w:proofErr w:type="spellEnd"/>
      <w:r w:rsidR="008B429A" w:rsidRPr="0069281C">
        <w:rPr>
          <w:lang w:val="en-US"/>
        </w:rPr>
        <w:t xml:space="preserve"> + 0.0418 </w:t>
      </w:r>
      <w:proofErr w:type="spellStart"/>
      <w:r w:rsidR="008B429A" w:rsidRPr="0069281C">
        <w:rPr>
          <w:lang w:val="en-US"/>
        </w:rPr>
        <w:t>ocdctrACP_c</w:t>
      </w:r>
      <w:proofErr w:type="spellEnd"/>
      <w:r w:rsidR="008B429A" w:rsidRPr="0069281C">
        <w:rPr>
          <w:lang w:val="en-US"/>
        </w:rPr>
        <w:t xml:space="preserve"> + 0.3519 </w:t>
      </w:r>
      <w:proofErr w:type="spellStart"/>
      <w:r w:rsidR="008B429A" w:rsidRPr="0069281C">
        <w:rPr>
          <w:lang w:val="en-US"/>
        </w:rPr>
        <w:t>ocdcyaACP_c</w:t>
      </w:r>
      <w:proofErr w:type="spellEnd"/>
      <w:r w:rsidR="008B429A" w:rsidRPr="0069281C">
        <w:rPr>
          <w:lang w:val="en-US"/>
        </w:rPr>
        <w:t xml:space="preserve"> + 0.1591 </w:t>
      </w:r>
      <w:proofErr w:type="spellStart"/>
      <w:r w:rsidR="008B429A" w:rsidRPr="0069281C">
        <w:rPr>
          <w:lang w:val="en-US"/>
        </w:rPr>
        <w:t>octeACP_c</w:t>
      </w:r>
      <w:proofErr w:type="spellEnd"/>
      <w:r w:rsidR="008B429A" w:rsidRPr="0069281C">
        <w:rPr>
          <w:lang w:val="en-US"/>
        </w:rPr>
        <w:t xml:space="preserve"> + 0.2566 </w:t>
      </w:r>
      <w:proofErr w:type="spellStart"/>
      <w:r w:rsidR="008B429A" w:rsidRPr="0069281C">
        <w:rPr>
          <w:lang w:val="en-US"/>
        </w:rPr>
        <w:t>palmACP_c</w:t>
      </w:r>
      <w:proofErr w:type="spellEnd"/>
      <w:r w:rsidR="008B429A" w:rsidRPr="0069281C">
        <w:rPr>
          <w:lang w:val="en-US"/>
        </w:rPr>
        <w:t xml:space="preserve"> + 0.0687 </w:t>
      </w:r>
      <w:proofErr w:type="spellStart"/>
      <w:r w:rsidR="008B429A" w:rsidRPr="0069281C">
        <w:rPr>
          <w:lang w:val="en-US"/>
        </w:rPr>
        <w:t>tdeacp_c</w:t>
      </w:r>
      <w:proofErr w:type="spellEnd"/>
      <w:r w:rsidR="008B429A" w:rsidRPr="0069281C">
        <w:rPr>
          <w:lang w:val="en-US"/>
        </w:rPr>
        <w:t xml:space="preserve"> --&gt; </w:t>
      </w:r>
      <w:proofErr w:type="spellStart"/>
      <w:r w:rsidR="008B429A" w:rsidRPr="0069281C">
        <w:rPr>
          <w:lang w:val="en-US"/>
        </w:rPr>
        <w:t>ACP_c</w:t>
      </w:r>
      <w:proofErr w:type="spellEnd"/>
      <w:r w:rsidR="008B429A" w:rsidRPr="0069281C">
        <w:rPr>
          <w:lang w:val="en-US"/>
        </w:rPr>
        <w:t xml:space="preserve"> + </w:t>
      </w:r>
      <w:proofErr w:type="spellStart"/>
      <w:r w:rsidR="008B429A" w:rsidRPr="0069281C">
        <w:rPr>
          <w:lang w:val="en-US"/>
        </w:rPr>
        <w:t>pa_LRE_c</w:t>
      </w:r>
      <w:proofErr w:type="spellEnd"/>
    </w:p>
    <w:p w14:paraId="33C118D9" w14:textId="2E17EB82" w:rsidR="00B44B9A" w:rsidRPr="0069281C" w:rsidRDefault="00B44B9A" w:rsidP="007C1B4A">
      <w:pPr>
        <w:rPr>
          <w:lang w:val="en-US"/>
        </w:rPr>
      </w:pPr>
      <w:r w:rsidRPr="0069281C">
        <w:rPr>
          <w:lang w:val="en-US"/>
        </w:rPr>
        <w:t xml:space="preserve">Phospholipids ratio from </w:t>
      </w:r>
      <w:r w:rsidRPr="0069281C">
        <w:rPr>
          <w:i/>
          <w:lang w:val="en-US"/>
        </w:rPr>
        <w:t xml:space="preserve">L. plantarum </w:t>
      </w:r>
      <w:r w:rsidRPr="0069281C">
        <w:rPr>
          <w:lang w:val="en-US"/>
        </w:rPr>
        <w:t xml:space="preserve">used here, as no </w:t>
      </w:r>
      <w:r w:rsidR="005B08D4" w:rsidRPr="0069281C">
        <w:rPr>
          <w:i/>
          <w:lang w:val="en-US"/>
        </w:rPr>
        <w:t xml:space="preserve">L. </w:t>
      </w:r>
      <w:proofErr w:type="spellStart"/>
      <w:r w:rsidRPr="0069281C">
        <w:rPr>
          <w:i/>
          <w:lang w:val="en-US"/>
        </w:rPr>
        <w:t>reuteri</w:t>
      </w:r>
      <w:proofErr w:type="spellEnd"/>
      <w:r w:rsidRPr="0069281C">
        <w:rPr>
          <w:lang w:val="en-US"/>
        </w:rPr>
        <w:t xml:space="preserve"> data was </w:t>
      </w:r>
      <w:r w:rsidR="005B08D4" w:rsidRPr="0069281C">
        <w:rPr>
          <w:lang w:val="en-US"/>
        </w:rPr>
        <w:t>available</w:t>
      </w:r>
    </w:p>
    <w:tbl>
      <w:tblPr>
        <w:tblStyle w:val="TableGrid"/>
        <w:tblW w:w="9351" w:type="dxa"/>
        <w:tblLook w:val="04A0" w:firstRow="1" w:lastRow="0" w:firstColumn="1" w:lastColumn="0" w:noHBand="0" w:noVBand="1"/>
      </w:tblPr>
      <w:tblGrid>
        <w:gridCol w:w="2830"/>
        <w:gridCol w:w="709"/>
        <w:gridCol w:w="3686"/>
        <w:gridCol w:w="2126"/>
      </w:tblGrid>
      <w:tr w:rsidR="00C7400E" w:rsidRPr="0069281C" w14:paraId="18EEF4AC" w14:textId="77777777" w:rsidTr="00A45678">
        <w:tc>
          <w:tcPr>
            <w:tcW w:w="2830" w:type="dxa"/>
          </w:tcPr>
          <w:p w14:paraId="11E312EE" w14:textId="77777777" w:rsidR="00C7400E" w:rsidRPr="0069281C" w:rsidRDefault="00C7400E" w:rsidP="007C1B4A">
            <w:pPr>
              <w:rPr>
                <w:b/>
                <w:lang w:val="en-US"/>
              </w:rPr>
            </w:pPr>
            <w:r w:rsidRPr="0069281C">
              <w:rPr>
                <w:b/>
                <w:lang w:val="en-US"/>
              </w:rPr>
              <w:t>Phospholipid</w:t>
            </w:r>
          </w:p>
        </w:tc>
        <w:tc>
          <w:tcPr>
            <w:tcW w:w="709" w:type="dxa"/>
          </w:tcPr>
          <w:p w14:paraId="4F59DC9F" w14:textId="77777777" w:rsidR="00C7400E" w:rsidRPr="0069281C" w:rsidRDefault="00C7400E" w:rsidP="007C1B4A">
            <w:pPr>
              <w:rPr>
                <w:b/>
                <w:lang w:val="en-US"/>
              </w:rPr>
            </w:pPr>
            <w:r w:rsidRPr="0069281C">
              <w:rPr>
                <w:b/>
                <w:lang w:val="en-US"/>
              </w:rPr>
              <w:t>Ratio</w:t>
            </w:r>
          </w:p>
        </w:tc>
        <w:tc>
          <w:tcPr>
            <w:tcW w:w="3686" w:type="dxa"/>
          </w:tcPr>
          <w:p w14:paraId="4571A763" w14:textId="77777777" w:rsidR="00C7400E" w:rsidRPr="0069281C" w:rsidRDefault="00C7400E" w:rsidP="007C1B4A">
            <w:pPr>
              <w:rPr>
                <w:rFonts w:eastAsia="Times New Roman" w:cs="Times New Roman"/>
                <w:b/>
                <w:color w:val="000000"/>
                <w:lang w:val="en-US" w:eastAsia="is-IS"/>
              </w:rPr>
            </w:pPr>
            <w:r w:rsidRPr="0069281C">
              <w:rPr>
                <w:rFonts w:eastAsia="Times New Roman" w:cs="Times New Roman"/>
                <w:b/>
                <w:color w:val="000000"/>
                <w:lang w:val="en-US" w:eastAsia="is-IS"/>
              </w:rPr>
              <w:t xml:space="preserve">MW with average </w:t>
            </w:r>
            <w:r w:rsidR="00A45678" w:rsidRPr="0069281C">
              <w:rPr>
                <w:rFonts w:eastAsia="Times New Roman" w:cs="Times New Roman"/>
                <w:b/>
                <w:color w:val="000000"/>
                <w:lang w:val="en-US" w:eastAsia="is-IS"/>
              </w:rPr>
              <w:t>fatty acid</w:t>
            </w:r>
            <w:r w:rsidRPr="0069281C">
              <w:rPr>
                <w:rFonts w:eastAsia="Times New Roman" w:cs="Times New Roman"/>
                <w:b/>
                <w:color w:val="000000"/>
                <w:lang w:val="en-US" w:eastAsia="is-IS"/>
              </w:rPr>
              <w:t xml:space="preserve"> (g mol</w:t>
            </w:r>
            <w:r w:rsidRPr="0069281C">
              <w:rPr>
                <w:rFonts w:eastAsia="Times New Roman" w:cs="Times New Roman"/>
                <w:b/>
                <w:color w:val="000000"/>
                <w:vertAlign w:val="superscript"/>
                <w:lang w:val="en-US" w:eastAsia="is-IS"/>
              </w:rPr>
              <w:t>-1</w:t>
            </w:r>
            <w:r w:rsidRPr="0069281C">
              <w:rPr>
                <w:rFonts w:eastAsia="Times New Roman" w:cs="Times New Roman"/>
                <w:b/>
                <w:color w:val="000000"/>
                <w:lang w:val="en-US" w:eastAsia="is-IS"/>
              </w:rPr>
              <w:t>)</w:t>
            </w:r>
          </w:p>
        </w:tc>
        <w:tc>
          <w:tcPr>
            <w:tcW w:w="2126" w:type="dxa"/>
          </w:tcPr>
          <w:p w14:paraId="342F62D2" w14:textId="77777777" w:rsidR="00C7400E" w:rsidRPr="0069281C" w:rsidRDefault="00C7400E" w:rsidP="007C1B4A">
            <w:pPr>
              <w:rPr>
                <w:b/>
                <w:lang w:val="en-US"/>
              </w:rPr>
            </w:pPr>
            <w:r w:rsidRPr="0069281C">
              <w:rPr>
                <w:rFonts w:eastAsia="Times New Roman" w:cs="Times New Roman"/>
                <w:b/>
                <w:color w:val="000000"/>
                <w:lang w:val="en-US" w:eastAsia="is-IS"/>
              </w:rPr>
              <w:t>MW * Ratio (g mol</w:t>
            </w:r>
            <w:r w:rsidRPr="0069281C">
              <w:rPr>
                <w:rFonts w:eastAsia="Times New Roman" w:cs="Times New Roman"/>
                <w:b/>
                <w:color w:val="000000"/>
                <w:vertAlign w:val="superscript"/>
                <w:lang w:val="en-US" w:eastAsia="is-IS"/>
              </w:rPr>
              <w:t>-1</w:t>
            </w:r>
            <w:r w:rsidRPr="0069281C">
              <w:rPr>
                <w:rFonts w:eastAsia="Times New Roman" w:cs="Times New Roman"/>
                <w:b/>
                <w:color w:val="000000"/>
                <w:lang w:val="en-US" w:eastAsia="is-IS"/>
              </w:rPr>
              <w:t>)</w:t>
            </w:r>
          </w:p>
        </w:tc>
      </w:tr>
      <w:tr w:rsidR="00C7400E" w:rsidRPr="0069281C" w14:paraId="04EC96E5" w14:textId="77777777" w:rsidTr="00A45678">
        <w:tc>
          <w:tcPr>
            <w:tcW w:w="2830" w:type="dxa"/>
          </w:tcPr>
          <w:p w14:paraId="222D30EB" w14:textId="77777777" w:rsidR="00C7400E" w:rsidRPr="0069281C" w:rsidRDefault="00C7400E" w:rsidP="007C1B4A">
            <w:pPr>
              <w:rPr>
                <w:lang w:val="en-US"/>
              </w:rPr>
            </w:pPr>
            <w:r w:rsidRPr="0069281C">
              <w:rPr>
                <w:lang w:val="en-US"/>
              </w:rPr>
              <w:t>Phosphatidylglycerol</w:t>
            </w:r>
          </w:p>
        </w:tc>
        <w:tc>
          <w:tcPr>
            <w:tcW w:w="709" w:type="dxa"/>
          </w:tcPr>
          <w:p w14:paraId="3ABA7752" w14:textId="77777777" w:rsidR="00C7400E" w:rsidRPr="0069281C" w:rsidRDefault="00C7400E" w:rsidP="007C1B4A">
            <w:pPr>
              <w:rPr>
                <w:lang w:val="en-US"/>
              </w:rPr>
            </w:pPr>
            <w:r w:rsidRPr="0069281C">
              <w:rPr>
                <w:lang w:val="en-US"/>
              </w:rPr>
              <w:t>0,75</w:t>
            </w:r>
          </w:p>
        </w:tc>
        <w:tc>
          <w:tcPr>
            <w:tcW w:w="3686" w:type="dxa"/>
          </w:tcPr>
          <w:p w14:paraId="1E80575D" w14:textId="77777777" w:rsidR="00C7400E" w:rsidRPr="0069281C" w:rsidRDefault="00C7400E" w:rsidP="007C1B4A">
            <w:pPr>
              <w:rPr>
                <w:lang w:val="en-US"/>
              </w:rPr>
            </w:pPr>
            <w:r w:rsidRPr="0069281C">
              <w:rPr>
                <w:lang w:val="en-US"/>
              </w:rPr>
              <w:t>751,95</w:t>
            </w:r>
          </w:p>
        </w:tc>
        <w:tc>
          <w:tcPr>
            <w:tcW w:w="2126" w:type="dxa"/>
          </w:tcPr>
          <w:p w14:paraId="3CA444B5" w14:textId="77777777" w:rsidR="00C7400E" w:rsidRPr="0069281C" w:rsidRDefault="00C7400E" w:rsidP="007C1B4A">
            <w:pPr>
              <w:rPr>
                <w:lang w:val="en-US"/>
              </w:rPr>
            </w:pPr>
            <w:r w:rsidRPr="0069281C">
              <w:rPr>
                <w:lang w:val="en-US"/>
              </w:rPr>
              <w:t>563,96</w:t>
            </w:r>
          </w:p>
        </w:tc>
      </w:tr>
      <w:tr w:rsidR="00C7400E" w:rsidRPr="0069281C" w14:paraId="203B1A13" w14:textId="77777777" w:rsidTr="00A45678">
        <w:tc>
          <w:tcPr>
            <w:tcW w:w="2830" w:type="dxa"/>
          </w:tcPr>
          <w:p w14:paraId="03657915" w14:textId="77777777" w:rsidR="00C7400E" w:rsidRPr="0069281C" w:rsidRDefault="00C7400E" w:rsidP="007C1B4A">
            <w:pPr>
              <w:rPr>
                <w:lang w:val="en-US"/>
              </w:rPr>
            </w:pPr>
            <w:r w:rsidRPr="0069281C">
              <w:rPr>
                <w:lang w:val="en-US"/>
              </w:rPr>
              <w:t>1-lysyl phosphatidylglycerol</w:t>
            </w:r>
          </w:p>
        </w:tc>
        <w:tc>
          <w:tcPr>
            <w:tcW w:w="709" w:type="dxa"/>
          </w:tcPr>
          <w:p w14:paraId="66E2BC58" w14:textId="77777777" w:rsidR="00C7400E" w:rsidRPr="0069281C" w:rsidRDefault="00C7400E" w:rsidP="007C1B4A">
            <w:pPr>
              <w:rPr>
                <w:lang w:val="en-US"/>
              </w:rPr>
            </w:pPr>
            <w:r w:rsidRPr="0069281C">
              <w:rPr>
                <w:lang w:val="en-US"/>
              </w:rPr>
              <w:t>0,23</w:t>
            </w:r>
          </w:p>
        </w:tc>
        <w:tc>
          <w:tcPr>
            <w:tcW w:w="3686" w:type="dxa"/>
          </w:tcPr>
          <w:p w14:paraId="23607222" w14:textId="77777777" w:rsidR="00C7400E" w:rsidRPr="0069281C" w:rsidRDefault="00C7400E" w:rsidP="007C1B4A">
            <w:pPr>
              <w:rPr>
                <w:lang w:val="en-US"/>
              </w:rPr>
            </w:pPr>
            <w:r w:rsidRPr="0069281C">
              <w:rPr>
                <w:lang w:val="en-US"/>
              </w:rPr>
              <w:t>882,14</w:t>
            </w:r>
          </w:p>
        </w:tc>
        <w:tc>
          <w:tcPr>
            <w:tcW w:w="2126" w:type="dxa"/>
          </w:tcPr>
          <w:p w14:paraId="460746FC" w14:textId="77777777" w:rsidR="00C7400E" w:rsidRPr="0069281C" w:rsidRDefault="00C7400E" w:rsidP="007C1B4A">
            <w:pPr>
              <w:rPr>
                <w:lang w:val="en-US"/>
              </w:rPr>
            </w:pPr>
            <w:r w:rsidRPr="0069281C">
              <w:rPr>
                <w:lang w:val="en-US"/>
              </w:rPr>
              <w:t>202,89</w:t>
            </w:r>
          </w:p>
        </w:tc>
      </w:tr>
      <w:tr w:rsidR="00C7400E" w:rsidRPr="0069281C" w14:paraId="5EF76D51" w14:textId="77777777" w:rsidTr="00A45678">
        <w:tc>
          <w:tcPr>
            <w:tcW w:w="2830" w:type="dxa"/>
          </w:tcPr>
          <w:p w14:paraId="16640D4B" w14:textId="77777777" w:rsidR="00C7400E" w:rsidRPr="0069281C" w:rsidRDefault="00C7400E" w:rsidP="007C1B4A">
            <w:pPr>
              <w:rPr>
                <w:lang w:val="en-US"/>
              </w:rPr>
            </w:pPr>
            <w:r w:rsidRPr="0069281C">
              <w:rPr>
                <w:lang w:val="en-US"/>
              </w:rPr>
              <w:t>Cardiolipin</w:t>
            </w:r>
          </w:p>
        </w:tc>
        <w:tc>
          <w:tcPr>
            <w:tcW w:w="709" w:type="dxa"/>
          </w:tcPr>
          <w:p w14:paraId="175EA72D" w14:textId="77777777" w:rsidR="00C7400E" w:rsidRPr="0069281C" w:rsidRDefault="00C7400E" w:rsidP="007C1B4A">
            <w:pPr>
              <w:rPr>
                <w:lang w:val="en-US"/>
              </w:rPr>
            </w:pPr>
            <w:r w:rsidRPr="0069281C">
              <w:rPr>
                <w:lang w:val="en-US"/>
              </w:rPr>
              <w:t>0,02</w:t>
            </w:r>
          </w:p>
        </w:tc>
        <w:tc>
          <w:tcPr>
            <w:tcW w:w="3686" w:type="dxa"/>
          </w:tcPr>
          <w:p w14:paraId="25403447" w14:textId="77777777" w:rsidR="00C7400E" w:rsidRPr="0069281C" w:rsidRDefault="00C7400E" w:rsidP="007C1B4A">
            <w:pPr>
              <w:rPr>
                <w:lang w:val="en-US"/>
              </w:rPr>
            </w:pPr>
            <w:r w:rsidRPr="0069281C">
              <w:rPr>
                <w:lang w:val="en-US"/>
              </w:rPr>
              <w:t>1411,81</w:t>
            </w:r>
          </w:p>
        </w:tc>
        <w:tc>
          <w:tcPr>
            <w:tcW w:w="2126" w:type="dxa"/>
          </w:tcPr>
          <w:p w14:paraId="2B2253D9" w14:textId="77777777" w:rsidR="00C7400E" w:rsidRPr="0069281C" w:rsidRDefault="00C7400E" w:rsidP="007C1B4A">
            <w:pPr>
              <w:rPr>
                <w:lang w:val="en-US"/>
              </w:rPr>
            </w:pPr>
            <w:r w:rsidRPr="0069281C">
              <w:rPr>
                <w:lang w:val="en-US"/>
              </w:rPr>
              <w:t>28,24</w:t>
            </w:r>
          </w:p>
        </w:tc>
      </w:tr>
      <w:tr w:rsidR="00C7400E" w:rsidRPr="0069281C" w14:paraId="1E536610" w14:textId="77777777" w:rsidTr="00A45678">
        <w:tc>
          <w:tcPr>
            <w:tcW w:w="7225" w:type="dxa"/>
            <w:gridSpan w:val="3"/>
          </w:tcPr>
          <w:p w14:paraId="5529B330" w14:textId="77777777" w:rsidR="00C7400E" w:rsidRPr="0069281C" w:rsidRDefault="00C7400E" w:rsidP="007C1B4A">
            <w:pPr>
              <w:rPr>
                <w:b/>
                <w:lang w:val="en-US"/>
              </w:rPr>
            </w:pPr>
            <w:r w:rsidRPr="0069281C">
              <w:rPr>
                <w:b/>
                <w:lang w:val="en-US"/>
              </w:rPr>
              <w:t>Average MW of phospholipids</w:t>
            </w:r>
          </w:p>
        </w:tc>
        <w:tc>
          <w:tcPr>
            <w:tcW w:w="2126" w:type="dxa"/>
          </w:tcPr>
          <w:p w14:paraId="3BCC0E75" w14:textId="77777777" w:rsidR="00C7400E" w:rsidRPr="0069281C" w:rsidRDefault="00C7400E" w:rsidP="007C1B4A">
            <w:pPr>
              <w:rPr>
                <w:b/>
                <w:lang w:val="en-US"/>
              </w:rPr>
            </w:pPr>
            <w:r w:rsidRPr="0069281C">
              <w:rPr>
                <w:b/>
                <w:lang w:val="en-US"/>
              </w:rPr>
              <w:t>795,1</w:t>
            </w:r>
          </w:p>
        </w:tc>
      </w:tr>
    </w:tbl>
    <w:p w14:paraId="007F3933" w14:textId="77777777" w:rsidR="008B429A" w:rsidRPr="0069281C" w:rsidRDefault="005B08D4">
      <w:pPr>
        <w:rPr>
          <w:lang w:val="en-US"/>
        </w:rPr>
      </w:pPr>
      <w:r w:rsidRPr="0069281C">
        <w:rPr>
          <w:lang w:val="en-US"/>
        </w:rPr>
        <w:br/>
      </w:r>
      <w:r w:rsidR="008B429A" w:rsidRPr="0069281C">
        <w:rPr>
          <w:b/>
          <w:lang w:val="en-US"/>
        </w:rPr>
        <w:t>Lipid reaction:</w:t>
      </w:r>
      <w:r w:rsidR="008B429A" w:rsidRPr="0069281C">
        <w:rPr>
          <w:b/>
          <w:lang w:val="en-US"/>
        </w:rPr>
        <w:br/>
      </w:r>
      <w:r w:rsidR="008B429A" w:rsidRPr="0069281C">
        <w:rPr>
          <w:lang w:val="en-US"/>
        </w:rPr>
        <w:t xml:space="preserve">0.02 </w:t>
      </w:r>
      <w:proofErr w:type="spellStart"/>
      <w:r w:rsidR="008B429A" w:rsidRPr="0069281C">
        <w:rPr>
          <w:lang w:val="en-US"/>
        </w:rPr>
        <w:t>clpn_LRE_c</w:t>
      </w:r>
      <w:proofErr w:type="spellEnd"/>
      <w:r w:rsidR="008B429A" w:rsidRPr="0069281C">
        <w:rPr>
          <w:lang w:val="en-US"/>
        </w:rPr>
        <w:t xml:space="preserve"> + 0.23 </w:t>
      </w:r>
      <w:proofErr w:type="spellStart"/>
      <w:r w:rsidR="008B429A" w:rsidRPr="0069281C">
        <w:rPr>
          <w:lang w:val="en-US"/>
        </w:rPr>
        <w:t>lyspg_LRE_c</w:t>
      </w:r>
      <w:proofErr w:type="spellEnd"/>
      <w:r w:rsidR="008B429A" w:rsidRPr="0069281C">
        <w:rPr>
          <w:lang w:val="en-US"/>
        </w:rPr>
        <w:t xml:space="preserve"> + 0.75 </w:t>
      </w:r>
      <w:proofErr w:type="spellStart"/>
      <w:r w:rsidR="008B429A" w:rsidRPr="0069281C">
        <w:rPr>
          <w:lang w:val="en-US"/>
        </w:rPr>
        <w:t>pg_LRE_c</w:t>
      </w:r>
      <w:proofErr w:type="spellEnd"/>
      <w:r w:rsidR="008B429A" w:rsidRPr="0069281C">
        <w:rPr>
          <w:lang w:val="en-US"/>
        </w:rPr>
        <w:t xml:space="preserve"> --&gt; </w:t>
      </w:r>
      <w:proofErr w:type="spellStart"/>
      <w:r w:rsidR="008B429A" w:rsidRPr="0069281C">
        <w:rPr>
          <w:lang w:val="en-US"/>
        </w:rPr>
        <w:t>LIP_LRE_c</w:t>
      </w:r>
      <w:proofErr w:type="spellEnd"/>
    </w:p>
    <w:p w14:paraId="4F9EE3D8" w14:textId="622F5ED1" w:rsidR="00CA7C7A" w:rsidRPr="00B30E5E" w:rsidRDefault="006A5F90">
      <w:pPr>
        <w:rPr>
          <w:b/>
          <w:sz w:val="24"/>
          <w:lang w:val="en-US"/>
        </w:rPr>
      </w:pPr>
      <w:r w:rsidRPr="0069281C">
        <w:rPr>
          <w:b/>
          <w:sz w:val="24"/>
          <w:lang w:val="en-US"/>
        </w:rPr>
        <w:t>Lipoteichoic acid</w:t>
      </w:r>
      <w:r w:rsidR="00B30E5E">
        <w:rPr>
          <w:b/>
          <w:sz w:val="24"/>
          <w:lang w:val="en-US"/>
        </w:rPr>
        <w:t xml:space="preserve"> </w:t>
      </w:r>
      <w:r w:rsidR="00D77F9A">
        <w:rPr>
          <w:b/>
          <w:sz w:val="24"/>
          <w:lang w:val="en-US"/>
        </w:rPr>
        <w:fldChar w:fldCharType="begin" w:fldLock="1"/>
      </w:r>
      <w:r w:rsidR="00E11010">
        <w:rPr>
          <w:b/>
          <w:sz w:val="24"/>
          <w:lang w:val="en-US"/>
        </w:rPr>
        <w:instrText>ADDIN CSL_CITATION {"citationItems":[{"id":"ITEM-1","itemData":{"DOI":"10.1111/j.1462-2920.2007.01292.x","abstract":"The dlt operon of Gram-positive bacteria encodes proteins required for the incorporation of D-alanine esters into cell wall-associated teichoic acids (TA). D-Alanylation of TA has been shown to be important for acid tolerance, resistance to antimicrobial peptides, adhesion, biofilm formation, and virulence of a variety of pathogenic organisms. The aim of this study was to determine the importance of D-alanylation for colonization of the gastrointestinal tract by Lactobacillus reuteri 100-23. Insertional inactivation of the dltA gene resulted in complete depletion of D-alanine substitution of lipoteichoic acids. The dlt mutant had similar growth characteristics as the wild type under standard in vitro conditions, but formed lower population sizes in the gastrointestinal tract of ex-Lactobacillus-free mice, and was almost eliminated from the habitat in competition experiments with the parental strain. In contrast to the wild type, the dlt mutant was unable to form a biofilm on the forestomach epithelium during gut colonization. Transmission electron microscope observations showed evidence of cell wall damage of mutant bacteria present in the forestomach. The dlt mutant had impaired growth under acidic culture conditions and increased susceptibility to the cationic peptide nisin relative to the wild type. Ex vivo adherence of the dlt mutant to the forestomach epithelium was not impaired. This study showed that D-alanylation is an important cell function of L. reuteri that seems to protect this commensal organism against the hostile conditions prevailing in the murine forestomach.","author":[{"dropping-particle":"","family":"Walter","given":"Jens","non-dropping-particle":"","parse-names":false,"suffix":""},{"dropping-particle":"","family":"Loach","given":"Diane M","non-dropping-particle":"","parse-names":false,"suffix":""},{"dropping-particle":"","family":"Alqumber","given":"Mohammed","non-dropping-particle":"","parse-names":false,"suffix":""},{"dropping-particle":"","family":"Rockel","given":"Christoph","non-dropping-particle":"","parse-names":false,"suffix":""},{"dropping-particle":"","family":"Hermann","given":"Corinna","non-dropping-particle":"","parse-names":false,"suffix":""},{"dropping-particle":"","family":"Pfitzenmaier","given":"Markus","non-dropping-particle":"","parse-names":false,"suffix":""},{"dropping-particle":"","family":"Tannock","given":"Gerald W","non-dropping-particle":"","parse-names":false,"suffix":""}],"container-title":"Environmental Microbiology","id":"ITEM-1","issue":"7","issued":{"date-parts":[["2007"]]},"page":"1750-1760","title":"D-Alanyl ester depletion of teichoic acids in Lactobacillus reuteri 100-23 results in impaired colonization of the mouse gastrointestinal tract","type":"article-journal","volume":"9"},"uris":["http://www.mendeley.com/documents/?uuid=359b0256-0665-4656-b581-42f5df0c975c"]},{"id":"ITEM-2","itemData":{"DOI":"10.1111/j.1574-6976.2009.00208.x","abstract":"Lactobacilli belong to the lactic acid bacteria, which play a key role in industrial and artisan food raw-material fermentation, including a large variety of fermented dairy products. Next to their role in fermentation processes, specific strains of Lactobacillus are currently marketed as health-promoting cultures or probiotics. The last decade has witnessed the completion of a large number of Lactobacillus genome sequences, including the genome sequences of some of the probiotic species and strains. This development opens avenues to unravel the Lactobacillusassociated health-promoting activity at the molecular level. It is generally considered likely that an important part of the Lactobacillus effector molecules that participate in the proposed health-promoting interactions with the host (intestinal) system resides in the bacterial cell envelope. For this reason, it is important to accurately predict the Lactobacillus exoproteomes. Extensive annotation of these exoproteomes, combined with comparative analysis of species- or strain-specific exoproteomes, may identify candidate effector molecules, which may support specific effects on host physiology associated with particular Lactobacillus strains. Candidate health-promoting effector molecules of lactobacilli can then be validated via mutant approaches, which will allow for improved strain selection procedures, improved product quality control criteria and molecular science-based health claims.","author":[{"dropping-particle":"","family":"Kleerebezem","given":"Michiel","non-dropping-particle":"","parse-names":false,"suffix":""},{"dropping-particle":"","family":"Hols","given":"Pascal","non-dropping-particle":"","parse-names":false,"suffix":""},{"dropping-particle":"","family":"Bernard","given":"Elvis","non-dropping-particle":"","parse-names":false,"suffix":""},{"dropping-particle":"","family":"Rolain","given":"Thomas","non-dropping-particle":"","parse-names":false,"suffix":""},{"dropping-particle":"","family":"Zhou","given":"Miaomiao","non-dropping-particle":"","parse-names":false,"suffix":""},{"dropping-particle":"","family":"Roland","given":"J","non-dropping-particle":"","parse-names":false,"suffix":""},{"dropping-particle":"","family":"Bron","given":"Peter A","non-dropping-particle":"","parse-names":false,"suffix":""}],"container-title":"FEMS Microbiology reveiws","id":"ITEM-2","issued":{"date-parts":[["2010"]]},"page":"199-230","title":"The extracellular biology of the lactobacilli","type":"article-journal","volume":"34"},"uris":["http://www.mendeley.com/documents/?uuid=95a25862-db4e-4609-9d07-01858047dece"]},{"id":"ITEM-3","itemData":{"DOI":"10.1038/nrmicro2690","ISSN":"1740-1526","abstract":"Probiotic bacteria can modulate immune responses in the host gastrointestinal tract to promote health. The genomics era has provided novel opportunities for the discovery and characterization of bacterial probiotic effector molecules that elicit specific responses in the intestinal system. Furthermore, nutrigenomic analyses of the response to probiotics have unravelled the signalling and immune response pathways which are modulated by probiotic bacteria. Together, these genomic approaches and nutrigenomic analyses have identified several bacterial factors that are involved in modulation of the immune system and the mucosal barrier, and have revealed that a molecular ‘bandwidth of human health’ could represent a key determinant in an individual’s physiological responsiveness to probiotics. These approaches may lead to improved stratification of consumers and to subpopulationlevel probiotic supplementation to maintain or improve health, or to reduce the risk of disease.","author":[{"dropping-particle":"","family":"Bron","given":"Peter A","non-dropping-particle":"","parse-names":false,"suffix":""},{"dropping-particle":"Van","family":"Baarlen","given":"Peter","non-dropping-particle":"","parse-names":false,"suffix":""},{"dropping-particle":"","family":"Kleerebezem","given":"Michiel","non-dropping-particle":"","parse-names":false,"suffix":""}],"container-title":"Nature Reviews Microbiology","id":"ITEM-3","issue":"1","issued":{"date-parts":[["2011"]]},"page":"66-78","publisher":"Nature Publishing Group","title":"Emerging molecular insights into the interaction between probiotics and the host intestinal mucosa","type":"article-journal","volume":"10"},"uris":["http://www.mendeley.com/documents/?uuid=e38626f6-f1e7-4cb7-b473-ce34975cc73c"]}],"mendeley":{"formattedCitation":"(Bron, Baarlen, &amp; Kleerebezem, 2011; Kleerebezem et al., 2010; Walter et al., 2007)","plainTextFormattedCitation":"(Bron, Baarlen, &amp; Kleerebezem, 2011; Kleerebezem et al., 2010; Walter et al., 2007)","previouslyFormattedCitation":"[4]–[6]"},"properties":{"noteIndex":0},"schema":"https://github.com/citation-style-language/schema/raw/master/csl-citation.json"}</w:instrText>
      </w:r>
      <w:r w:rsidR="00D77F9A">
        <w:rPr>
          <w:b/>
          <w:sz w:val="24"/>
          <w:lang w:val="en-US"/>
        </w:rPr>
        <w:fldChar w:fldCharType="separate"/>
      </w:r>
      <w:r w:rsidR="00E11010" w:rsidRPr="00E11010">
        <w:rPr>
          <w:noProof/>
          <w:sz w:val="24"/>
          <w:lang w:val="en-US"/>
        </w:rPr>
        <w:t>(Bron, Baarlen, &amp; Kleerebezem, 2011; Kleerebezem et al., 2010; Walter et al., 2007)</w:t>
      </w:r>
      <w:r w:rsidR="00D77F9A">
        <w:rPr>
          <w:b/>
          <w:sz w:val="24"/>
          <w:lang w:val="en-US"/>
        </w:rPr>
        <w:fldChar w:fldCharType="end"/>
      </w:r>
    </w:p>
    <w:p w14:paraId="1D97BC03" w14:textId="77777777" w:rsidR="00CA7C7A" w:rsidRPr="0069281C" w:rsidRDefault="00CA7C7A">
      <w:pPr>
        <w:rPr>
          <w:lang w:val="en-US"/>
        </w:rPr>
      </w:pPr>
      <w:r w:rsidRPr="0069281C">
        <w:rPr>
          <w:lang w:val="en-US"/>
        </w:rPr>
        <w:t>20 glycerol phosphate (Gro-P) residues</w:t>
      </w:r>
    </w:p>
    <w:p w14:paraId="6114757C" w14:textId="77777777" w:rsidR="00CA7C7A" w:rsidRPr="0069281C" w:rsidRDefault="00CA7C7A">
      <w:pPr>
        <w:rPr>
          <w:lang w:val="en-US"/>
        </w:rPr>
      </w:pPr>
      <w:r w:rsidRPr="0069281C">
        <w:rPr>
          <w:lang w:val="en-US"/>
        </w:rPr>
        <w:t>Gro-P residues were substituted with d-alanyl esters (74-79%, average 76,5%)</w:t>
      </w:r>
    </w:p>
    <w:p w14:paraId="68EC114D" w14:textId="77777777" w:rsidR="007C1B4A" w:rsidRPr="0069281C" w:rsidRDefault="00CA7C7A">
      <w:pPr>
        <w:rPr>
          <w:lang w:val="en-US"/>
        </w:rPr>
      </w:pPr>
      <w:r w:rsidRPr="0069281C">
        <w:rPr>
          <w:lang w:val="en-US"/>
        </w:rPr>
        <w:t>Gro-P residues were substituted with glycosyl residues (6%)</w:t>
      </w:r>
    </w:p>
    <w:tbl>
      <w:tblPr>
        <w:tblStyle w:val="TableGrid"/>
        <w:tblW w:w="0" w:type="auto"/>
        <w:tblLook w:val="04A0" w:firstRow="1" w:lastRow="0" w:firstColumn="1" w:lastColumn="0" w:noHBand="0" w:noVBand="1"/>
      </w:tblPr>
      <w:tblGrid>
        <w:gridCol w:w="3020"/>
        <w:gridCol w:w="3021"/>
        <w:gridCol w:w="3021"/>
      </w:tblGrid>
      <w:tr w:rsidR="006A5F90" w:rsidRPr="0069281C" w14:paraId="788EB2BE" w14:textId="77777777" w:rsidTr="006A5F90">
        <w:tc>
          <w:tcPr>
            <w:tcW w:w="3020" w:type="dxa"/>
          </w:tcPr>
          <w:p w14:paraId="4360AF75" w14:textId="77777777" w:rsidR="006A5F90" w:rsidRPr="0069281C" w:rsidRDefault="006A5F90">
            <w:pPr>
              <w:rPr>
                <w:b/>
                <w:lang w:val="en-US"/>
              </w:rPr>
            </w:pPr>
            <w:r w:rsidRPr="0069281C">
              <w:rPr>
                <w:b/>
                <w:lang w:val="en-US"/>
              </w:rPr>
              <w:t>Component</w:t>
            </w:r>
          </w:p>
        </w:tc>
        <w:tc>
          <w:tcPr>
            <w:tcW w:w="3021" w:type="dxa"/>
          </w:tcPr>
          <w:p w14:paraId="6F37F856" w14:textId="77777777" w:rsidR="006A5F90" w:rsidRPr="0069281C" w:rsidRDefault="006A5F90">
            <w:pPr>
              <w:rPr>
                <w:b/>
                <w:lang w:val="en-US"/>
              </w:rPr>
            </w:pPr>
            <w:r w:rsidRPr="0069281C">
              <w:rPr>
                <w:b/>
                <w:lang w:val="en-US"/>
              </w:rPr>
              <w:t>Average molar ratio</w:t>
            </w:r>
          </w:p>
        </w:tc>
        <w:tc>
          <w:tcPr>
            <w:tcW w:w="3021" w:type="dxa"/>
          </w:tcPr>
          <w:p w14:paraId="513EFD78" w14:textId="77777777" w:rsidR="006A5F90" w:rsidRPr="0069281C" w:rsidRDefault="006A5F90">
            <w:pPr>
              <w:rPr>
                <w:b/>
                <w:lang w:val="en-US"/>
              </w:rPr>
            </w:pPr>
            <w:r w:rsidRPr="0069281C">
              <w:rPr>
                <w:b/>
                <w:lang w:val="en-US"/>
              </w:rPr>
              <w:t>Molar mass</w:t>
            </w:r>
            <w:r w:rsidR="00CA7C7A" w:rsidRPr="0069281C">
              <w:rPr>
                <w:b/>
                <w:lang w:val="en-US"/>
              </w:rPr>
              <w:t xml:space="preserve"> (g mol</w:t>
            </w:r>
            <w:r w:rsidR="00CA7C7A" w:rsidRPr="0069281C">
              <w:rPr>
                <w:b/>
                <w:vertAlign w:val="superscript"/>
                <w:lang w:val="en-US"/>
              </w:rPr>
              <w:t>-1</w:t>
            </w:r>
            <w:r w:rsidR="00CA7C7A" w:rsidRPr="0069281C">
              <w:rPr>
                <w:b/>
                <w:lang w:val="en-US"/>
              </w:rPr>
              <w:t>)</w:t>
            </w:r>
          </w:p>
        </w:tc>
      </w:tr>
      <w:tr w:rsidR="006A5F90" w:rsidRPr="0069281C" w14:paraId="3B6606B0" w14:textId="77777777" w:rsidTr="006A5F90">
        <w:tc>
          <w:tcPr>
            <w:tcW w:w="3020" w:type="dxa"/>
          </w:tcPr>
          <w:p w14:paraId="156C0E2D" w14:textId="77777777" w:rsidR="006A5F90" w:rsidRPr="0069281C" w:rsidRDefault="006A5F90">
            <w:pPr>
              <w:rPr>
                <w:lang w:val="en-US"/>
              </w:rPr>
            </w:pPr>
            <w:proofErr w:type="spellStart"/>
            <w:r w:rsidRPr="0069281C">
              <w:rPr>
                <w:lang w:val="en-US"/>
              </w:rPr>
              <w:t>Diglucosyl</w:t>
            </w:r>
            <w:proofErr w:type="spellEnd"/>
            <w:r w:rsidRPr="0069281C">
              <w:rPr>
                <w:lang w:val="en-US"/>
              </w:rPr>
              <w:t xml:space="preserve"> diacylglycerol</w:t>
            </w:r>
          </w:p>
        </w:tc>
        <w:tc>
          <w:tcPr>
            <w:tcW w:w="3021" w:type="dxa"/>
          </w:tcPr>
          <w:p w14:paraId="6D687E3B" w14:textId="77777777" w:rsidR="006A5F90" w:rsidRPr="0069281C" w:rsidRDefault="006A5F90">
            <w:pPr>
              <w:rPr>
                <w:lang w:val="en-US"/>
              </w:rPr>
            </w:pPr>
            <w:r w:rsidRPr="0069281C">
              <w:rPr>
                <w:lang w:val="en-US"/>
              </w:rPr>
              <w:t>1</w:t>
            </w:r>
          </w:p>
        </w:tc>
        <w:tc>
          <w:tcPr>
            <w:tcW w:w="3021" w:type="dxa"/>
          </w:tcPr>
          <w:p w14:paraId="5CBF8BE0" w14:textId="77777777" w:rsidR="006A5F90" w:rsidRPr="0069281C" w:rsidRDefault="006A5F90">
            <w:pPr>
              <w:rPr>
                <w:lang w:val="en-US"/>
              </w:rPr>
            </w:pPr>
            <w:r w:rsidRPr="0069281C">
              <w:rPr>
                <w:lang w:val="en-US"/>
              </w:rPr>
              <w:t>906,3</w:t>
            </w:r>
          </w:p>
        </w:tc>
      </w:tr>
      <w:tr w:rsidR="006A5F90" w:rsidRPr="0069281C" w14:paraId="00E456D3" w14:textId="77777777" w:rsidTr="006A5F90">
        <w:tc>
          <w:tcPr>
            <w:tcW w:w="3020" w:type="dxa"/>
          </w:tcPr>
          <w:p w14:paraId="541B6082" w14:textId="77777777" w:rsidR="006A5F90" w:rsidRPr="0069281C" w:rsidRDefault="006A5F90">
            <w:pPr>
              <w:rPr>
                <w:lang w:val="en-US"/>
              </w:rPr>
            </w:pPr>
            <w:r w:rsidRPr="0069281C">
              <w:rPr>
                <w:lang w:val="en-US"/>
              </w:rPr>
              <w:t>Glycerol phosphate</w:t>
            </w:r>
          </w:p>
        </w:tc>
        <w:tc>
          <w:tcPr>
            <w:tcW w:w="3021" w:type="dxa"/>
          </w:tcPr>
          <w:p w14:paraId="39523B83" w14:textId="77777777" w:rsidR="006A5F90" w:rsidRPr="0069281C" w:rsidRDefault="006A5F90">
            <w:pPr>
              <w:rPr>
                <w:lang w:val="en-US"/>
              </w:rPr>
            </w:pPr>
            <w:r w:rsidRPr="0069281C">
              <w:rPr>
                <w:lang w:val="en-US"/>
              </w:rPr>
              <w:t>20</w:t>
            </w:r>
          </w:p>
        </w:tc>
        <w:tc>
          <w:tcPr>
            <w:tcW w:w="3021" w:type="dxa"/>
          </w:tcPr>
          <w:p w14:paraId="22C1D3BA" w14:textId="77777777" w:rsidR="006A5F90" w:rsidRPr="0069281C" w:rsidRDefault="006A5F90">
            <w:pPr>
              <w:rPr>
                <w:lang w:val="en-US"/>
              </w:rPr>
            </w:pPr>
            <w:r w:rsidRPr="0069281C">
              <w:rPr>
                <w:lang w:val="en-US"/>
              </w:rPr>
              <w:t>154,0</w:t>
            </w:r>
          </w:p>
        </w:tc>
      </w:tr>
      <w:tr w:rsidR="006A5F90" w:rsidRPr="0069281C" w14:paraId="087D607B" w14:textId="77777777" w:rsidTr="006A5F90">
        <w:tc>
          <w:tcPr>
            <w:tcW w:w="3020" w:type="dxa"/>
          </w:tcPr>
          <w:p w14:paraId="52E37E5F" w14:textId="77777777" w:rsidR="006A5F90" w:rsidRPr="0069281C" w:rsidRDefault="006A5F90">
            <w:pPr>
              <w:rPr>
                <w:lang w:val="en-US"/>
              </w:rPr>
            </w:pPr>
            <w:r w:rsidRPr="0069281C">
              <w:rPr>
                <w:lang w:val="en-US"/>
              </w:rPr>
              <w:t>D-alanine</w:t>
            </w:r>
          </w:p>
        </w:tc>
        <w:tc>
          <w:tcPr>
            <w:tcW w:w="3021" w:type="dxa"/>
          </w:tcPr>
          <w:p w14:paraId="7C73D24F" w14:textId="77777777" w:rsidR="006A5F90" w:rsidRPr="0069281C" w:rsidRDefault="006A5F90">
            <w:pPr>
              <w:rPr>
                <w:lang w:val="en-US"/>
              </w:rPr>
            </w:pPr>
            <w:r w:rsidRPr="0069281C">
              <w:rPr>
                <w:lang w:val="en-US"/>
              </w:rPr>
              <w:t>15,3</w:t>
            </w:r>
          </w:p>
        </w:tc>
        <w:tc>
          <w:tcPr>
            <w:tcW w:w="3021" w:type="dxa"/>
          </w:tcPr>
          <w:p w14:paraId="0258172A" w14:textId="77777777" w:rsidR="006A5F90" w:rsidRPr="0069281C" w:rsidRDefault="006A5F90">
            <w:pPr>
              <w:rPr>
                <w:lang w:val="en-US"/>
              </w:rPr>
            </w:pPr>
            <w:r w:rsidRPr="0069281C">
              <w:rPr>
                <w:lang w:val="en-US"/>
              </w:rPr>
              <w:t>71,1</w:t>
            </w:r>
          </w:p>
        </w:tc>
      </w:tr>
      <w:tr w:rsidR="006A5F90" w:rsidRPr="0069281C" w14:paraId="387807B7" w14:textId="77777777" w:rsidTr="006A5F90">
        <w:tc>
          <w:tcPr>
            <w:tcW w:w="3020" w:type="dxa"/>
          </w:tcPr>
          <w:p w14:paraId="4CEB0755" w14:textId="77777777" w:rsidR="006A5F90" w:rsidRPr="0069281C" w:rsidRDefault="006A5F90">
            <w:pPr>
              <w:rPr>
                <w:lang w:val="en-US"/>
              </w:rPr>
            </w:pPr>
            <w:r w:rsidRPr="0069281C">
              <w:rPr>
                <w:lang w:val="en-US"/>
              </w:rPr>
              <w:t>D-glucose</w:t>
            </w:r>
          </w:p>
        </w:tc>
        <w:tc>
          <w:tcPr>
            <w:tcW w:w="3021" w:type="dxa"/>
          </w:tcPr>
          <w:p w14:paraId="6F851EA2" w14:textId="77777777" w:rsidR="006A5F90" w:rsidRPr="0069281C" w:rsidRDefault="006A5F90">
            <w:pPr>
              <w:rPr>
                <w:lang w:val="en-US"/>
              </w:rPr>
            </w:pPr>
            <w:r w:rsidRPr="0069281C">
              <w:rPr>
                <w:lang w:val="en-US"/>
              </w:rPr>
              <w:t>1,2</w:t>
            </w:r>
          </w:p>
        </w:tc>
        <w:tc>
          <w:tcPr>
            <w:tcW w:w="3021" w:type="dxa"/>
          </w:tcPr>
          <w:p w14:paraId="60F52ACE" w14:textId="77777777" w:rsidR="006A5F90" w:rsidRPr="0069281C" w:rsidRDefault="006A5F90">
            <w:pPr>
              <w:rPr>
                <w:lang w:val="en-US"/>
              </w:rPr>
            </w:pPr>
            <w:r w:rsidRPr="0069281C">
              <w:rPr>
                <w:lang w:val="en-US"/>
              </w:rPr>
              <w:t>180,2</w:t>
            </w:r>
          </w:p>
        </w:tc>
      </w:tr>
      <w:tr w:rsidR="00CA7C7A" w:rsidRPr="0069281C" w14:paraId="22D1CC56" w14:textId="77777777" w:rsidTr="00D74507">
        <w:tc>
          <w:tcPr>
            <w:tcW w:w="6041" w:type="dxa"/>
            <w:gridSpan w:val="2"/>
          </w:tcPr>
          <w:p w14:paraId="6FCCBA04" w14:textId="77777777" w:rsidR="00CA7C7A" w:rsidRPr="0069281C" w:rsidRDefault="00CA7C7A">
            <w:pPr>
              <w:rPr>
                <w:b/>
                <w:lang w:val="en-US"/>
              </w:rPr>
            </w:pPr>
            <w:r w:rsidRPr="0069281C">
              <w:rPr>
                <w:b/>
                <w:lang w:val="en-US"/>
              </w:rPr>
              <w:t>Average molar mass of Lipoteichoic acid</w:t>
            </w:r>
          </w:p>
        </w:tc>
        <w:tc>
          <w:tcPr>
            <w:tcW w:w="3021" w:type="dxa"/>
          </w:tcPr>
          <w:p w14:paraId="1C0910AF" w14:textId="77777777" w:rsidR="00CA7C7A" w:rsidRPr="0069281C" w:rsidRDefault="00CA7C7A">
            <w:pPr>
              <w:rPr>
                <w:b/>
                <w:lang w:val="en-US"/>
              </w:rPr>
            </w:pPr>
            <w:r w:rsidRPr="0069281C">
              <w:rPr>
                <w:b/>
                <w:lang w:val="en-US"/>
              </w:rPr>
              <w:t>5290,4</w:t>
            </w:r>
          </w:p>
        </w:tc>
      </w:tr>
    </w:tbl>
    <w:p w14:paraId="6598D303" w14:textId="77777777" w:rsidR="006A5F90" w:rsidRPr="0069281C" w:rsidRDefault="006A5F90">
      <w:pPr>
        <w:rPr>
          <w:lang w:val="en-US"/>
        </w:rPr>
      </w:pPr>
    </w:p>
    <w:p w14:paraId="6E7EFE37" w14:textId="77777777" w:rsidR="00794C69" w:rsidRPr="0069281C" w:rsidRDefault="00794C69">
      <w:pPr>
        <w:rPr>
          <w:lang w:val="en-US"/>
        </w:rPr>
      </w:pPr>
      <w:r w:rsidRPr="0069281C">
        <w:rPr>
          <w:b/>
          <w:lang w:val="en-US"/>
        </w:rPr>
        <w:t>LTA reaction:</w:t>
      </w:r>
      <w:r w:rsidRPr="0069281C">
        <w:rPr>
          <w:lang w:val="en-US"/>
        </w:rPr>
        <w:br/>
        <w:t xml:space="preserve">0.175 </w:t>
      </w:r>
      <w:proofErr w:type="spellStart"/>
      <w:r w:rsidRPr="0069281C">
        <w:rPr>
          <w:lang w:val="en-US"/>
        </w:rPr>
        <w:t>LTA_LRE_c</w:t>
      </w:r>
      <w:proofErr w:type="spellEnd"/>
      <w:r w:rsidRPr="0069281C">
        <w:rPr>
          <w:lang w:val="en-US"/>
        </w:rPr>
        <w:t xml:space="preserve"> + 0.765 </w:t>
      </w:r>
      <w:proofErr w:type="spellStart"/>
      <w:r w:rsidRPr="0069281C">
        <w:rPr>
          <w:lang w:val="en-US"/>
        </w:rPr>
        <w:t>LTAala_LRE_c</w:t>
      </w:r>
      <w:proofErr w:type="spellEnd"/>
      <w:r w:rsidRPr="0069281C">
        <w:rPr>
          <w:lang w:val="en-US"/>
        </w:rPr>
        <w:t xml:space="preserve"> + 0.06 </w:t>
      </w:r>
      <w:proofErr w:type="spellStart"/>
      <w:r w:rsidRPr="0069281C">
        <w:rPr>
          <w:lang w:val="en-US"/>
        </w:rPr>
        <w:t>LTAglc_LRE_c</w:t>
      </w:r>
      <w:proofErr w:type="spellEnd"/>
      <w:r w:rsidRPr="0069281C">
        <w:rPr>
          <w:lang w:val="en-US"/>
        </w:rPr>
        <w:t xml:space="preserve"> --&gt; </w:t>
      </w:r>
      <w:proofErr w:type="spellStart"/>
      <w:r w:rsidRPr="0069281C">
        <w:rPr>
          <w:lang w:val="en-US"/>
        </w:rPr>
        <w:t>LTAtotal_LRE_c</w:t>
      </w:r>
      <w:proofErr w:type="spellEnd"/>
    </w:p>
    <w:p w14:paraId="18EB8097" w14:textId="673C92C7" w:rsidR="007C1B4A" w:rsidRPr="0069281C" w:rsidRDefault="007C1B4A">
      <w:pPr>
        <w:rPr>
          <w:lang w:val="en-US"/>
        </w:rPr>
      </w:pPr>
      <w:r w:rsidRPr="0069281C">
        <w:rPr>
          <w:lang w:val="en-US"/>
        </w:rPr>
        <w:t xml:space="preserve">L. </w:t>
      </w:r>
      <w:proofErr w:type="spellStart"/>
      <w:r w:rsidRPr="0069281C">
        <w:rPr>
          <w:lang w:val="en-US"/>
        </w:rPr>
        <w:t>reuteri</w:t>
      </w:r>
      <w:proofErr w:type="spellEnd"/>
      <w:r w:rsidRPr="0069281C">
        <w:rPr>
          <w:lang w:val="en-US"/>
        </w:rPr>
        <w:t xml:space="preserve"> does not produce Wall teichoic acid</w:t>
      </w:r>
    </w:p>
    <w:p w14:paraId="1DB0D708" w14:textId="32930CBF" w:rsidR="006A5F90" w:rsidRPr="0069281C" w:rsidRDefault="006A5F90">
      <w:pPr>
        <w:rPr>
          <w:b/>
          <w:sz w:val="24"/>
          <w:lang w:val="en-US"/>
        </w:rPr>
      </w:pPr>
      <w:r w:rsidRPr="0069281C">
        <w:rPr>
          <w:b/>
          <w:sz w:val="24"/>
          <w:lang w:val="en-US"/>
        </w:rPr>
        <w:t>Polysaccharides</w:t>
      </w:r>
      <w:r w:rsidR="0053723B">
        <w:rPr>
          <w:b/>
          <w:sz w:val="24"/>
          <w:lang w:val="en-US"/>
        </w:rPr>
        <w:t xml:space="preserve"> </w:t>
      </w:r>
      <w:r w:rsidR="00D77F9A">
        <w:rPr>
          <w:b/>
          <w:sz w:val="24"/>
          <w:lang w:val="en-US"/>
        </w:rPr>
        <w:fldChar w:fldCharType="begin" w:fldLock="1"/>
      </w:r>
      <w:r w:rsidR="00E11010">
        <w:rPr>
          <w:b/>
          <w:sz w:val="24"/>
          <w:lang w:val="en-US"/>
        </w:rPr>
        <w:instrText>ADDIN CSL_CITATION {"citationItems":[{"id":"ITEM-1","itemData":{"DOI":"10.1016/j.carbpol.2015.12.037","abstract":"The aim of the study was to characterize exopolysaccharides (EPS) originated from Lactobacillus reuteristrain DSM 17938 (EPS-DSM17938) and L. reuteri strain L26 BiocenolTM(EPS-L26) and evaluate their influ-ence on adherence of enterotoxigenic Escherichia coli (ETEC) to IPEC-1 cells and proinflammatory geneexpression. Both EPS were d-glucan polysaccharides with higher molecular weight (Mw), but differing inspatial conformation and elicited variable cytokine profile. EPS-DSM17938, relatively linear polysaccha-ride with (1 → 4) and (1 → 6) glycosidic linkages, increased IL-1\u0002 gene expression (0.1 mg/mL; P &lt; 0.05),while EPS-L26, more branched polysaccharide with (1 → 3) and (1 → 6) glycosidic linkages, exerted slightbut statistically significant up-regulation of NF-\u0003B, TNF-\u0004 and IL-6 mRNA (P &lt; 0.05). The most significantfinding is that preincubation of IPEC-1 cells with both EPS followed by ETEC infection inhibit ETEC adhe-sion on IPEC-1 cells (P &lt; 0.01) and ETEC-induced gene expression of proinflammatory cytokine IL-1\u0002 andIL-6 (P &lt; 0.01).","author":[{"dropping-particle":"","family":"Ksonzeková","given":"P","non-dropping-particle":"","parse-names":false,"suffix":""},{"dropping-particle":"","family":"Bystricky","given":"P","non-dropping-particle":"","parse-names":false,"suffix":""},{"dropping-particle":"","family":"Vlcková","given":"S","non-dropping-particle":"","parse-names":false,"suffix":""},{"dropping-particle":"","family":"Pätoprst","given":"V","non-dropping-particle":"","parse-names":false,"suffix":""},{"dropping-particle":"","family":"Pulzová","given":"L","non-dropping-particle":"","parse-names":false,"suffix":""},{"dropping-particle":"","family":"Mudronová","given":"D","non-dropping-particle":"","parse-names":false,"suffix":""},{"dropping-particle":"","family":"Kubasková","given":"T","non-dropping-particle":"","parse-names":false,"suffix":""},{"dropping-particle":"","family":"Csank","given":"T","non-dropping-particle":"","parse-names":false,"suffix":""},{"dropping-particle":"","family":"Tkáciková","given":"L","non-dropping-particle":"","parse-names":false,"suffix":""}],"container-title":"Carbohydrate Polymers","id":"ITEM-1","issued":{"date-parts":[["2016"]]},"page":"10-19","title":"Exopolysaccharides of Lactobacillus reuteri : Their influence on adherence of E . coli to epithelial cells and inflammatory response","type":"article-journal","volume":"141"},"uris":["http://www.mendeley.com/documents/?uuid=9df1fe29-29a2-4b86-b9cc-a2d051b9ede9"]}],"mendeley":{"formattedCitation":"(Ksonzeková et al., 2016)","plainTextFormattedCitation":"(Ksonzeková et al., 2016)","previouslyFormattedCitation":"[7]"},"properties":{"noteIndex":0},"schema":"https://github.com/citation-style-language/schema/raw/master/csl-citation.json"}</w:instrText>
      </w:r>
      <w:r w:rsidR="00D77F9A">
        <w:rPr>
          <w:b/>
          <w:sz w:val="24"/>
          <w:lang w:val="en-US"/>
        </w:rPr>
        <w:fldChar w:fldCharType="separate"/>
      </w:r>
      <w:r w:rsidR="00E11010" w:rsidRPr="00E11010">
        <w:rPr>
          <w:noProof/>
          <w:sz w:val="24"/>
          <w:lang w:val="en-US"/>
        </w:rPr>
        <w:t>(Ksonzeková et al., 2016)</w:t>
      </w:r>
      <w:r w:rsidR="00D77F9A">
        <w:rPr>
          <w:b/>
          <w:sz w:val="24"/>
          <w:lang w:val="en-US"/>
        </w:rPr>
        <w:fldChar w:fldCharType="end"/>
      </w:r>
    </w:p>
    <w:p w14:paraId="48BFE8AD" w14:textId="77777777" w:rsidR="009B73EF" w:rsidRPr="0069281C" w:rsidRDefault="009B73EF">
      <w:pPr>
        <w:rPr>
          <w:lang w:val="en-US"/>
        </w:rPr>
      </w:pPr>
      <w:r w:rsidRPr="0069281C">
        <w:rPr>
          <w:lang w:val="en-US"/>
        </w:rPr>
        <w:t xml:space="preserve">Glucan </w:t>
      </w:r>
      <w:proofErr w:type="spellStart"/>
      <w:r w:rsidRPr="0069281C">
        <w:rPr>
          <w:lang w:val="en-US"/>
        </w:rPr>
        <w:t>homopolysaccharides</w:t>
      </w:r>
      <w:proofErr w:type="spellEnd"/>
      <w:r w:rsidRPr="0069281C">
        <w:rPr>
          <w:lang w:val="en-US"/>
        </w:rPr>
        <w:t xml:space="preserve"> (merely glucose units)</w:t>
      </w:r>
    </w:p>
    <w:p w14:paraId="054E1090" w14:textId="77777777" w:rsidR="000E2C52" w:rsidRPr="0069281C" w:rsidRDefault="000E2C52">
      <w:pPr>
        <w:rPr>
          <w:lang w:val="en-US"/>
        </w:rPr>
      </w:pPr>
      <w:r w:rsidRPr="0069281C">
        <w:rPr>
          <w:lang w:val="en-US"/>
        </w:rPr>
        <w:t>D-glucose, 4 units, 162 g mol</w:t>
      </w:r>
      <w:r w:rsidRPr="0069281C">
        <w:rPr>
          <w:vertAlign w:val="superscript"/>
          <w:lang w:val="en-US"/>
        </w:rPr>
        <w:t>-1</w:t>
      </w:r>
      <w:r w:rsidRPr="0069281C">
        <w:rPr>
          <w:lang w:val="en-US"/>
        </w:rPr>
        <w:t xml:space="preserve"> per unit </w:t>
      </w:r>
      <w:r w:rsidRPr="0069281C">
        <w:rPr>
          <w:lang w:val="en-US"/>
        </w:rPr>
        <w:sym w:font="Wingdings" w:char="F0E0"/>
      </w:r>
      <w:r w:rsidRPr="0069281C">
        <w:rPr>
          <w:lang w:val="en-US"/>
        </w:rPr>
        <w:t xml:space="preserve"> 648 g mol</w:t>
      </w:r>
      <w:r w:rsidRPr="0069281C">
        <w:rPr>
          <w:vertAlign w:val="superscript"/>
          <w:lang w:val="en-US"/>
        </w:rPr>
        <w:t>-1</w:t>
      </w:r>
    </w:p>
    <w:p w14:paraId="1EDE2461" w14:textId="77777777" w:rsidR="00D53749" w:rsidRPr="0069281C" w:rsidRDefault="00D53749" w:rsidP="00426021">
      <w:pPr>
        <w:rPr>
          <w:lang w:val="en-US"/>
        </w:rPr>
      </w:pPr>
      <w:r w:rsidRPr="0069281C">
        <w:rPr>
          <w:b/>
          <w:lang w:val="en-US"/>
        </w:rPr>
        <w:t>Polysaccharide reaction:</w:t>
      </w:r>
      <w:r w:rsidRPr="0069281C">
        <w:rPr>
          <w:lang w:val="en-US"/>
        </w:rPr>
        <w:br/>
        <w:t xml:space="preserve">4.0 h2o_c + 4.0 </w:t>
      </w:r>
      <w:proofErr w:type="spellStart"/>
      <w:r w:rsidRPr="0069281C">
        <w:rPr>
          <w:lang w:val="en-US"/>
        </w:rPr>
        <w:t>udpg_c</w:t>
      </w:r>
      <w:proofErr w:type="spellEnd"/>
      <w:r w:rsidRPr="0069281C">
        <w:rPr>
          <w:lang w:val="en-US"/>
        </w:rPr>
        <w:t xml:space="preserve"> &lt;=&gt; </w:t>
      </w:r>
      <w:proofErr w:type="spellStart"/>
      <w:r w:rsidRPr="0069281C">
        <w:rPr>
          <w:lang w:val="en-US"/>
        </w:rPr>
        <w:t>CPS_LRE_c</w:t>
      </w:r>
      <w:proofErr w:type="spellEnd"/>
      <w:r w:rsidRPr="0069281C">
        <w:rPr>
          <w:lang w:val="en-US"/>
        </w:rPr>
        <w:t xml:space="preserve"> + 5.0 </w:t>
      </w:r>
      <w:proofErr w:type="spellStart"/>
      <w:r w:rsidRPr="0069281C">
        <w:rPr>
          <w:lang w:val="en-US"/>
        </w:rPr>
        <w:t>h_c</w:t>
      </w:r>
      <w:proofErr w:type="spellEnd"/>
      <w:r w:rsidRPr="0069281C">
        <w:rPr>
          <w:lang w:val="en-US"/>
        </w:rPr>
        <w:t xml:space="preserve"> + 3.0 </w:t>
      </w:r>
      <w:proofErr w:type="spellStart"/>
      <w:r w:rsidRPr="0069281C">
        <w:rPr>
          <w:lang w:val="en-US"/>
        </w:rPr>
        <w:t>udp_c</w:t>
      </w:r>
      <w:proofErr w:type="spellEnd"/>
      <w:r w:rsidRPr="0069281C">
        <w:rPr>
          <w:lang w:val="en-US"/>
        </w:rPr>
        <w:t xml:space="preserve"> + </w:t>
      </w:r>
      <w:proofErr w:type="spellStart"/>
      <w:r w:rsidRPr="0069281C">
        <w:rPr>
          <w:lang w:val="en-US"/>
        </w:rPr>
        <w:t>ump_c</w:t>
      </w:r>
      <w:proofErr w:type="spellEnd"/>
    </w:p>
    <w:p w14:paraId="4B265C54" w14:textId="77777777" w:rsidR="00426021" w:rsidRPr="0069281C" w:rsidRDefault="00426021" w:rsidP="00426021">
      <w:pPr>
        <w:rPr>
          <w:b/>
          <w:sz w:val="24"/>
          <w:lang w:val="en-US"/>
        </w:rPr>
      </w:pPr>
      <w:r w:rsidRPr="0069281C">
        <w:rPr>
          <w:b/>
          <w:sz w:val="24"/>
          <w:lang w:val="en-US"/>
        </w:rPr>
        <w:t>Peptidoglycan</w:t>
      </w:r>
    </w:p>
    <w:p w14:paraId="19B0DA1C" w14:textId="762E6A66" w:rsidR="00426021" w:rsidRPr="0069281C" w:rsidRDefault="00426021">
      <w:pPr>
        <w:rPr>
          <w:i/>
          <w:lang w:val="en-US"/>
        </w:rPr>
      </w:pPr>
      <w:r w:rsidRPr="0069281C">
        <w:rPr>
          <w:lang w:val="en-US"/>
        </w:rPr>
        <w:t>Assumed the same as</w:t>
      </w:r>
      <w:r w:rsidRPr="0069281C">
        <w:rPr>
          <w:i/>
          <w:lang w:val="en-US"/>
        </w:rPr>
        <w:t xml:space="preserve"> </w:t>
      </w:r>
      <w:r w:rsidR="00822771" w:rsidRPr="0069281C">
        <w:rPr>
          <w:i/>
          <w:lang w:val="en-US"/>
        </w:rPr>
        <w:t>L.</w:t>
      </w:r>
      <w:r w:rsidR="00822771" w:rsidRPr="0069281C">
        <w:rPr>
          <w:lang w:val="en-US"/>
        </w:rPr>
        <w:t xml:space="preserve"> </w:t>
      </w:r>
      <w:r w:rsidRPr="0069281C">
        <w:rPr>
          <w:i/>
          <w:lang w:val="en-US"/>
        </w:rPr>
        <w:t>plantarum</w:t>
      </w:r>
    </w:p>
    <w:p w14:paraId="30AC249D" w14:textId="77777777" w:rsidR="004B67C7" w:rsidRPr="0069281C" w:rsidRDefault="004B67C7">
      <w:pPr>
        <w:rPr>
          <w:lang w:val="en-US"/>
        </w:rPr>
      </w:pPr>
      <w:r w:rsidRPr="0069281C">
        <w:rPr>
          <w:b/>
          <w:lang w:val="en-US"/>
        </w:rPr>
        <w:t>Peptidoglycan reaction:</w:t>
      </w:r>
      <w:r w:rsidRPr="0069281C">
        <w:rPr>
          <w:lang w:val="en-US"/>
        </w:rPr>
        <w:br/>
      </w:r>
      <w:proofErr w:type="spellStart"/>
      <w:r w:rsidRPr="0069281C">
        <w:rPr>
          <w:lang w:val="en-US"/>
        </w:rPr>
        <w:t>uaagmdalac_c</w:t>
      </w:r>
      <w:proofErr w:type="spellEnd"/>
      <w:r w:rsidRPr="0069281C">
        <w:rPr>
          <w:lang w:val="en-US"/>
        </w:rPr>
        <w:t xml:space="preserve"> --&gt; PGlac2_c + </w:t>
      </w:r>
      <w:proofErr w:type="spellStart"/>
      <w:r w:rsidRPr="0069281C">
        <w:rPr>
          <w:lang w:val="en-US"/>
        </w:rPr>
        <w:t>udcpdp_c</w:t>
      </w:r>
      <w:proofErr w:type="spellEnd"/>
    </w:p>
    <w:p w14:paraId="5705569A" w14:textId="77777777" w:rsidR="006D338D" w:rsidRPr="0069281C" w:rsidRDefault="006D338D" w:rsidP="006D338D">
      <w:pPr>
        <w:rPr>
          <w:b/>
          <w:sz w:val="24"/>
          <w:lang w:val="en-US"/>
        </w:rPr>
      </w:pPr>
      <w:r w:rsidRPr="0069281C">
        <w:rPr>
          <w:b/>
          <w:sz w:val="24"/>
          <w:lang w:val="en-US"/>
        </w:rPr>
        <w:lastRenderedPageBreak/>
        <w:t>Glycogen</w:t>
      </w:r>
    </w:p>
    <w:p w14:paraId="3C6794EC" w14:textId="7E4EEF8A" w:rsidR="006D338D" w:rsidRPr="0069281C" w:rsidRDefault="0076567A">
      <w:pPr>
        <w:rPr>
          <w:lang w:val="en-US"/>
        </w:rPr>
      </w:pPr>
      <w:r w:rsidRPr="0069281C">
        <w:rPr>
          <w:lang w:val="en-US"/>
        </w:rPr>
        <w:t xml:space="preserve">Glycogen in </w:t>
      </w:r>
      <w:r w:rsidRPr="0069281C">
        <w:rPr>
          <w:i/>
          <w:lang w:val="en-US"/>
        </w:rPr>
        <w:t xml:space="preserve">B. subtilis </w:t>
      </w:r>
      <w:r w:rsidRPr="0069281C">
        <w:rPr>
          <w:lang w:val="en-US"/>
        </w:rPr>
        <w:t>biomass was negligibl</w:t>
      </w:r>
      <w:r w:rsidR="00E11010">
        <w:rPr>
          <w:lang w:val="en-US"/>
        </w:rPr>
        <w:t xml:space="preserve">e </w:t>
      </w:r>
      <w:r w:rsidR="00E11010">
        <w:rPr>
          <w:lang w:val="en-US"/>
        </w:rPr>
        <w:fldChar w:fldCharType="begin" w:fldLock="1"/>
      </w:r>
      <w:r w:rsidR="00E11010">
        <w:rPr>
          <w:lang w:val="en-US"/>
        </w:rPr>
        <w:instrText>ADDIN CSL_CITATION {"citationItems":[{"id":"ITEM-1","itemData":{"DOI":"10.1128/JB.183.24.7308","abstract":"The energetic efficiency of microbial growth is significantly reduced in cultures growing under glucose excess compared to cultures growing under glucose limitation, but the magnitude to which different energy-dissipating processes contribute to the reduced efficiency is currently not well understood. We introduce here a new concept for balancing the total cellular energy flux that is based on the conversion of energy and carbon fluxes into energy equivalents, and we apply this concept to glucose-, ammonia-, and phosphate-limited chemostat cultures of riboflavin-producing Bacillus subtilis. Based on [U-13C6]glucose-labeling experiments and metabolic flux analysis, the total energy flux in slow-growing, glucose-limited B. subtilis is almost exclusively partitioned in maintenance metabolism and biomass formation. In excess-glucose cultures, in contrast, uncoupling of anabolism and catabolism is primarily achieved by overflow metabolism, while two quantified futile enzyme cycles and metabolic shifts to energetically less efficient pathways are negligible. In most cultures, about 20% of the total energy flux could not be assigned to a particular energy-consuming process and thus are probably dissipated by processes such as ion leakage that are not being considered at present. In contrast to glucoseor ammonia-limited cultures, metabolic flux analysis revealed low tricarboxylic acid (TCA) cycle fluxes in phosphate-limited B. subtilis, which is consistent with CcpA-dependent catabolite repression of the cycle and/or transcriptional activation of genes involved in overflow metabolism in the presence of excess glucose. ATPdependent control of in vivo enzyme activity appears to be irrelevant for the observed differences in TCA cycle fluxes.","author":[{"dropping-particle":"","family":"Dauner","given":"Michael","non-dropping-particle":"","parse-names":false,"suffix":""},{"dropping-particle":"","family":"Storni","given":"Tazio","non-dropping-particle":"","parse-names":false,"suffix":""},{"dropping-particle":"","family":"Sauer","given":"U W E","non-dropping-particle":"","parse-names":false,"suffix":""}],"container-title":"Journal of Bacteriology","id":"ITEM-1","issue":"24","issued":{"date-parts":[["2001"]]},"page":"7308-7317","title":"Bacillus subtilis Metabolism and Energetics in Carbon-Limited and Excess-Carbon Chemostat Culture","type":"article-journal","volume":"183"},"uris":["http://www.mendeley.com/documents/?uuid=78f1965a-6250-4fa7-8946-7ecbb6f5f9e0"]},{"id":"ITEM-2","itemData":{"abstract":"Rate equations for measured extracellular rates and macromolecular composition data were combined with a stoichiometric model to describe riboflavin production with an industrial Bacillus subtilis strain using errors in variables regression analysis. On the basis of this combined stoichiometric growth model, we explored the topological features of the B. subtilis metabolic reaction network that was assembled from a large amount of literature. More specifically, we simulated maximum theoretical yields of biomass and riboflavin, including the associated flux regimes. Based on the developed model, the importance of experimental data on building block requirements for maximum yield and flux calculations were investigated. These analyses clearly show that verification of macromolecular composition data is important for optimum flux calculations","author":[{"dropping-particle":"","family":"Dauner","given":"Michael","non-dropping-particle":"","parse-names":false,"suffix":""},{"dropping-particle":"","family":"Sauer","given":"Uwe","non-dropping-particle":"","parse-names":false,"suffix":""}],"container-title":"Biotechnology and Bioengineering","id":"ITEM-2","issue":"2","issued":{"date-parts":[["2001"]]},"page":"132-143","title":"Stoichiometric Growth Model for Riboflavin-Producing Bacillus subtilis","type":"article-journal","volume":"76"},"uris":["http://www.mendeley.com/documents/?uuid=1265f96f-c800-4335-a155-49aa41a7afa2"]}],"mendeley":{"formattedCitation":"(Dauner &amp; Sauer, 2001; Dauner, Storni, &amp; Sauer, 2001)","plainTextFormattedCitation":"(Dauner &amp; Sauer, 2001; Dauner, Storni, &amp; Sauer, 2001)","previouslyFormattedCitation":"[8], [9]"},"properties":{"noteIndex":0},"schema":"https://github.com/citation-style-language/schema/raw/master/csl-citation.json"}</w:instrText>
      </w:r>
      <w:r w:rsidR="00E11010">
        <w:rPr>
          <w:lang w:val="en-US"/>
        </w:rPr>
        <w:fldChar w:fldCharType="separate"/>
      </w:r>
      <w:r w:rsidR="00E11010" w:rsidRPr="00E11010">
        <w:rPr>
          <w:noProof/>
          <w:lang w:val="en-US"/>
        </w:rPr>
        <w:t>(Dauner &amp; Sauer, 2001; Dauner, Storni, &amp; Sauer, 2001)</w:t>
      </w:r>
      <w:r w:rsidR="00E11010">
        <w:rPr>
          <w:lang w:val="en-US"/>
        </w:rPr>
        <w:fldChar w:fldCharType="end"/>
      </w:r>
      <w:r w:rsidRPr="0069281C">
        <w:rPr>
          <w:lang w:val="en-US"/>
        </w:rPr>
        <w:t xml:space="preserve">. </w:t>
      </w:r>
      <w:r w:rsidR="0053723B">
        <w:rPr>
          <w:lang w:val="en-US"/>
        </w:rPr>
        <w:t>Assumed the same here.</w:t>
      </w:r>
    </w:p>
    <w:p w14:paraId="6CC8F20F" w14:textId="77777777" w:rsidR="006D338D" w:rsidRPr="0069281C" w:rsidRDefault="006D338D" w:rsidP="006D338D">
      <w:pPr>
        <w:rPr>
          <w:b/>
          <w:sz w:val="24"/>
          <w:lang w:val="en-US"/>
        </w:rPr>
      </w:pPr>
      <w:r w:rsidRPr="0069281C">
        <w:rPr>
          <w:b/>
          <w:sz w:val="24"/>
          <w:lang w:val="en-US"/>
        </w:rPr>
        <w:t>ATP requirements</w:t>
      </w:r>
    </w:p>
    <w:p w14:paraId="7AC229A1" w14:textId="5011D223" w:rsidR="0069281C" w:rsidRPr="00111BAA" w:rsidRDefault="0053723B" w:rsidP="00682BD6">
      <w:pPr>
        <w:rPr>
          <w:lang w:val="en-US"/>
        </w:rPr>
      </w:pPr>
      <w:r>
        <w:rPr>
          <w:lang w:val="en-US"/>
        </w:rPr>
        <w:t xml:space="preserve">No data for </w:t>
      </w:r>
      <w:r>
        <w:rPr>
          <w:i/>
          <w:lang w:val="en-US"/>
        </w:rPr>
        <w:t xml:space="preserve">L. </w:t>
      </w:r>
      <w:proofErr w:type="spellStart"/>
      <w:r>
        <w:rPr>
          <w:i/>
          <w:lang w:val="en-US"/>
        </w:rPr>
        <w:t>reuteri</w:t>
      </w:r>
      <w:proofErr w:type="spellEnd"/>
      <w:r>
        <w:rPr>
          <w:lang w:val="en-US"/>
        </w:rPr>
        <w:t xml:space="preserve"> available</w:t>
      </w:r>
      <w:r w:rsidR="00111BAA">
        <w:rPr>
          <w:lang w:val="en-US"/>
        </w:rPr>
        <w:t>.</w:t>
      </w:r>
      <w:r>
        <w:rPr>
          <w:lang w:val="en-US"/>
        </w:rPr>
        <w:t xml:space="preserve"> </w:t>
      </w:r>
      <w:r w:rsidR="00111BAA">
        <w:rPr>
          <w:lang w:val="en-US"/>
        </w:rPr>
        <w:t xml:space="preserve">NGAM </w:t>
      </w:r>
      <w:r>
        <w:rPr>
          <w:lang w:val="en-US"/>
        </w:rPr>
        <w:t xml:space="preserve">assumed the same as </w:t>
      </w:r>
      <w:r>
        <w:rPr>
          <w:i/>
          <w:lang w:val="en-US"/>
        </w:rPr>
        <w:t>L. plantarum.</w:t>
      </w:r>
      <w:r w:rsidR="00111BAA">
        <w:rPr>
          <w:lang w:val="en-US"/>
        </w:rPr>
        <w:t xml:space="preserve"> GAM calculated by constraining model with experimental uptake- and secretion rates of metabolites, and growth rate of </w:t>
      </w:r>
      <w:r w:rsidR="00111BAA">
        <w:rPr>
          <w:i/>
          <w:lang w:val="en-US"/>
        </w:rPr>
        <w:t xml:space="preserve">L. </w:t>
      </w:r>
      <w:proofErr w:type="spellStart"/>
      <w:r w:rsidR="00111BAA">
        <w:rPr>
          <w:i/>
          <w:lang w:val="en-US"/>
        </w:rPr>
        <w:t>reuteri</w:t>
      </w:r>
      <w:proofErr w:type="spellEnd"/>
      <w:r w:rsidR="00111BAA">
        <w:rPr>
          <w:lang w:val="en-US"/>
        </w:rPr>
        <w:t xml:space="preserve">. </w:t>
      </w:r>
      <w:bookmarkStart w:id="0" w:name="_GoBack"/>
      <w:bookmarkEnd w:id="0"/>
    </w:p>
    <w:p w14:paraId="4D48A126" w14:textId="77777777" w:rsidR="000C381A" w:rsidRDefault="000C381A">
      <w:pPr>
        <w:rPr>
          <w:b/>
          <w:sz w:val="24"/>
          <w:lang w:val="en-US"/>
        </w:rPr>
      </w:pPr>
      <w:r>
        <w:rPr>
          <w:b/>
          <w:sz w:val="24"/>
          <w:lang w:val="en-US"/>
        </w:rPr>
        <w:br w:type="page"/>
      </w:r>
    </w:p>
    <w:p w14:paraId="4C20E8CA" w14:textId="70497634" w:rsidR="0069281C" w:rsidRPr="0069281C" w:rsidRDefault="0069281C" w:rsidP="00682BD6">
      <w:pPr>
        <w:rPr>
          <w:b/>
          <w:sz w:val="24"/>
          <w:lang w:val="en-US"/>
        </w:rPr>
      </w:pPr>
      <w:r w:rsidRPr="0069281C">
        <w:rPr>
          <w:b/>
          <w:sz w:val="24"/>
          <w:lang w:val="en-US"/>
        </w:rPr>
        <w:lastRenderedPageBreak/>
        <w:t>Ref</w:t>
      </w:r>
    </w:p>
    <w:p w14:paraId="0C8461B2" w14:textId="2EC4189D"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Pr>
          <w:b/>
          <w:bCs/>
        </w:rPr>
        <w:fldChar w:fldCharType="begin" w:fldLock="1"/>
      </w:r>
      <w:r>
        <w:rPr>
          <w:b/>
          <w:bCs/>
        </w:rPr>
        <w:instrText xml:space="preserve">ADDIN Mendeley Bibliography CSL_BIBLIOGRAPHY </w:instrText>
      </w:r>
      <w:r>
        <w:rPr>
          <w:b/>
          <w:bCs/>
        </w:rPr>
        <w:fldChar w:fldCharType="separate"/>
      </w:r>
      <w:r w:rsidRPr="00E11010">
        <w:rPr>
          <w:rFonts w:ascii="Calibri" w:hAnsi="Calibri" w:cs="Times New Roman"/>
          <w:noProof/>
          <w:szCs w:val="24"/>
        </w:rPr>
        <w:t xml:space="preserve">Bron, P. A., Baarlen, P. Van, &amp; Kleerebezem, M. (2011). Emerging molecular insights into the interaction between probiotics and the host intestinal mucosa. </w:t>
      </w:r>
      <w:r w:rsidRPr="00E11010">
        <w:rPr>
          <w:rFonts w:ascii="Calibri" w:hAnsi="Calibri" w:cs="Times New Roman"/>
          <w:i/>
          <w:iCs/>
          <w:noProof/>
          <w:szCs w:val="24"/>
        </w:rPr>
        <w:t>Nature Reviews Microbiology</w:t>
      </w:r>
      <w:r w:rsidRPr="00E11010">
        <w:rPr>
          <w:rFonts w:ascii="Calibri" w:hAnsi="Calibri" w:cs="Times New Roman"/>
          <w:noProof/>
          <w:szCs w:val="24"/>
        </w:rPr>
        <w:t xml:space="preserve">, </w:t>
      </w:r>
      <w:r w:rsidRPr="00E11010">
        <w:rPr>
          <w:rFonts w:ascii="Calibri" w:hAnsi="Calibri" w:cs="Times New Roman"/>
          <w:i/>
          <w:iCs/>
          <w:noProof/>
          <w:szCs w:val="24"/>
        </w:rPr>
        <w:t>10</w:t>
      </w:r>
      <w:r w:rsidRPr="00E11010">
        <w:rPr>
          <w:rFonts w:ascii="Calibri" w:hAnsi="Calibri" w:cs="Times New Roman"/>
          <w:noProof/>
          <w:szCs w:val="24"/>
        </w:rPr>
        <w:t>(1), 66–78. https://doi.org/10.1038/nrmicro2690</w:t>
      </w:r>
    </w:p>
    <w:p w14:paraId="4DA4A5D5"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Dauner, M., &amp; Sauer, U. (2001). Stoichiometric Growth Model for Riboflavin-Producing Bacillus subtilis. </w:t>
      </w:r>
      <w:r w:rsidRPr="00E11010">
        <w:rPr>
          <w:rFonts w:ascii="Calibri" w:hAnsi="Calibri" w:cs="Times New Roman"/>
          <w:i/>
          <w:iCs/>
          <w:noProof/>
          <w:szCs w:val="24"/>
        </w:rPr>
        <w:t>Biotechnology and Bioengineering</w:t>
      </w:r>
      <w:r w:rsidRPr="00E11010">
        <w:rPr>
          <w:rFonts w:ascii="Calibri" w:hAnsi="Calibri" w:cs="Times New Roman"/>
          <w:noProof/>
          <w:szCs w:val="24"/>
        </w:rPr>
        <w:t xml:space="preserve">, </w:t>
      </w:r>
      <w:r w:rsidRPr="00E11010">
        <w:rPr>
          <w:rFonts w:ascii="Calibri" w:hAnsi="Calibri" w:cs="Times New Roman"/>
          <w:i/>
          <w:iCs/>
          <w:noProof/>
          <w:szCs w:val="24"/>
        </w:rPr>
        <w:t>76</w:t>
      </w:r>
      <w:r w:rsidRPr="00E11010">
        <w:rPr>
          <w:rFonts w:ascii="Calibri" w:hAnsi="Calibri" w:cs="Times New Roman"/>
          <w:noProof/>
          <w:szCs w:val="24"/>
        </w:rPr>
        <w:t>(2), 132–143.</w:t>
      </w:r>
    </w:p>
    <w:p w14:paraId="407AB0C0"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Dauner, M., Storni, T., &amp; Sauer, U. W. E. (2001). Bacillus subtilis Metabolism and Energetics in Carbon-Limited and Excess-Carbon Chemostat Culture. </w:t>
      </w:r>
      <w:r w:rsidRPr="00E11010">
        <w:rPr>
          <w:rFonts w:ascii="Calibri" w:hAnsi="Calibri" w:cs="Times New Roman"/>
          <w:i/>
          <w:iCs/>
          <w:noProof/>
          <w:szCs w:val="24"/>
        </w:rPr>
        <w:t>Journal of Bacteriology</w:t>
      </w:r>
      <w:r w:rsidRPr="00E11010">
        <w:rPr>
          <w:rFonts w:ascii="Calibri" w:hAnsi="Calibri" w:cs="Times New Roman"/>
          <w:noProof/>
          <w:szCs w:val="24"/>
        </w:rPr>
        <w:t xml:space="preserve">, </w:t>
      </w:r>
      <w:r w:rsidRPr="00E11010">
        <w:rPr>
          <w:rFonts w:ascii="Calibri" w:hAnsi="Calibri" w:cs="Times New Roman"/>
          <w:i/>
          <w:iCs/>
          <w:noProof/>
          <w:szCs w:val="24"/>
        </w:rPr>
        <w:t>183</w:t>
      </w:r>
      <w:r w:rsidRPr="00E11010">
        <w:rPr>
          <w:rFonts w:ascii="Calibri" w:hAnsi="Calibri" w:cs="Times New Roman"/>
          <w:noProof/>
          <w:szCs w:val="24"/>
        </w:rPr>
        <w:t>(24), 7308–7317. https://doi.org/10.1128/JB.183.24.7308</w:t>
      </w:r>
    </w:p>
    <w:p w14:paraId="3DDB7D75"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Kleerebezem, M., Hols, P., Bernard, E., Rolain, T., Zhou, M., Roland, J., &amp; Bron, P. A. (2010). The extracellular biology of the lactobacilli. </w:t>
      </w:r>
      <w:r w:rsidRPr="00E11010">
        <w:rPr>
          <w:rFonts w:ascii="Calibri" w:hAnsi="Calibri" w:cs="Times New Roman"/>
          <w:i/>
          <w:iCs/>
          <w:noProof/>
          <w:szCs w:val="24"/>
        </w:rPr>
        <w:t>FEMS Microbiology Reveiws</w:t>
      </w:r>
      <w:r w:rsidRPr="00E11010">
        <w:rPr>
          <w:rFonts w:ascii="Calibri" w:hAnsi="Calibri" w:cs="Times New Roman"/>
          <w:noProof/>
          <w:szCs w:val="24"/>
        </w:rPr>
        <w:t xml:space="preserve">, </w:t>
      </w:r>
      <w:r w:rsidRPr="00E11010">
        <w:rPr>
          <w:rFonts w:ascii="Calibri" w:hAnsi="Calibri" w:cs="Times New Roman"/>
          <w:i/>
          <w:iCs/>
          <w:noProof/>
          <w:szCs w:val="24"/>
        </w:rPr>
        <w:t>34</w:t>
      </w:r>
      <w:r w:rsidRPr="00E11010">
        <w:rPr>
          <w:rFonts w:ascii="Calibri" w:hAnsi="Calibri" w:cs="Times New Roman"/>
          <w:noProof/>
          <w:szCs w:val="24"/>
        </w:rPr>
        <w:t>, 199–230. https://doi.org/10.1111/j.1574-6976.2009.00208.x</w:t>
      </w:r>
    </w:p>
    <w:p w14:paraId="2868C4D3"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Ksonzeková, P., Bystricky, P., Vlcková, S., Pätoprst, V., Pulzová, L., Mudronová, D., … Tkáciková, L. (2016). Exopolysaccharides of Lactobacillus reuteri : Their influence on adherence of E . coli to epithelial cells and inflammatory response. </w:t>
      </w:r>
      <w:r w:rsidRPr="00E11010">
        <w:rPr>
          <w:rFonts w:ascii="Calibri" w:hAnsi="Calibri" w:cs="Times New Roman"/>
          <w:i/>
          <w:iCs/>
          <w:noProof/>
          <w:szCs w:val="24"/>
        </w:rPr>
        <w:t>Carbohydrate Polymers</w:t>
      </w:r>
      <w:r w:rsidRPr="00E11010">
        <w:rPr>
          <w:rFonts w:ascii="Calibri" w:hAnsi="Calibri" w:cs="Times New Roman"/>
          <w:noProof/>
          <w:szCs w:val="24"/>
        </w:rPr>
        <w:t xml:space="preserve">, </w:t>
      </w:r>
      <w:r w:rsidRPr="00E11010">
        <w:rPr>
          <w:rFonts w:ascii="Calibri" w:hAnsi="Calibri" w:cs="Times New Roman"/>
          <w:i/>
          <w:iCs/>
          <w:noProof/>
          <w:szCs w:val="24"/>
        </w:rPr>
        <w:t>141</w:t>
      </w:r>
      <w:r w:rsidRPr="00E11010">
        <w:rPr>
          <w:rFonts w:ascii="Calibri" w:hAnsi="Calibri" w:cs="Times New Roman"/>
          <w:noProof/>
          <w:szCs w:val="24"/>
        </w:rPr>
        <w:t>, 10–19. https://doi.org/10.1016/j.carbpol.2015.12.037</w:t>
      </w:r>
    </w:p>
    <w:p w14:paraId="5653ABE4"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Liu, X. T., Hou, C. L., Zhang, J., Zeng, X. F., &amp; Qiao, S. Y. (2014). Fermentation conditions influence the fatty acid composition of the membranes of Lactobacillus reuteri I5007 and its survival following freeze-drying. </w:t>
      </w:r>
      <w:r w:rsidRPr="00E11010">
        <w:rPr>
          <w:rFonts w:ascii="Calibri" w:hAnsi="Calibri" w:cs="Times New Roman"/>
          <w:i/>
          <w:iCs/>
          <w:noProof/>
          <w:szCs w:val="24"/>
        </w:rPr>
        <w:t>Letters in Applied Microbiology</w:t>
      </w:r>
      <w:r w:rsidRPr="00E11010">
        <w:rPr>
          <w:rFonts w:ascii="Calibri" w:hAnsi="Calibri" w:cs="Times New Roman"/>
          <w:noProof/>
          <w:szCs w:val="24"/>
        </w:rPr>
        <w:t xml:space="preserve">, </w:t>
      </w:r>
      <w:r w:rsidRPr="00E11010">
        <w:rPr>
          <w:rFonts w:ascii="Calibri" w:hAnsi="Calibri" w:cs="Times New Roman"/>
          <w:i/>
          <w:iCs/>
          <w:noProof/>
          <w:szCs w:val="24"/>
        </w:rPr>
        <w:t>59</w:t>
      </w:r>
      <w:r w:rsidRPr="00E11010">
        <w:rPr>
          <w:rFonts w:ascii="Calibri" w:hAnsi="Calibri" w:cs="Times New Roman"/>
          <w:noProof/>
          <w:szCs w:val="24"/>
        </w:rPr>
        <w:t>, 398–403. https://doi.org/10.1111/lam.12292</w:t>
      </w:r>
    </w:p>
    <w:p w14:paraId="62F6307A"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Oliveira, A. P., Nielsen, J., &amp; Förster, J. (2005). Modeling Lactococcus lactis using a genome-scale flux model. </w:t>
      </w:r>
      <w:r w:rsidRPr="00E11010">
        <w:rPr>
          <w:rFonts w:ascii="Calibri" w:hAnsi="Calibri" w:cs="Times New Roman"/>
          <w:i/>
          <w:iCs/>
          <w:noProof/>
          <w:szCs w:val="24"/>
        </w:rPr>
        <w:t>BMC Microbiology</w:t>
      </w:r>
      <w:r w:rsidRPr="00E11010">
        <w:rPr>
          <w:rFonts w:ascii="Calibri" w:hAnsi="Calibri" w:cs="Times New Roman"/>
          <w:noProof/>
          <w:szCs w:val="24"/>
        </w:rPr>
        <w:t xml:space="preserve">, </w:t>
      </w:r>
      <w:r w:rsidRPr="00E11010">
        <w:rPr>
          <w:rFonts w:ascii="Calibri" w:hAnsi="Calibri" w:cs="Times New Roman"/>
          <w:i/>
          <w:iCs/>
          <w:noProof/>
          <w:szCs w:val="24"/>
        </w:rPr>
        <w:t>5</w:t>
      </w:r>
      <w:r w:rsidRPr="00E11010">
        <w:rPr>
          <w:rFonts w:ascii="Calibri" w:hAnsi="Calibri" w:cs="Times New Roman"/>
          <w:noProof/>
          <w:szCs w:val="24"/>
        </w:rPr>
        <w:t>(1). https://doi.org/10.1186/1471-2180-5-39</w:t>
      </w:r>
    </w:p>
    <w:p w14:paraId="19AEB2AE"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cs="Times New Roman"/>
          <w:noProof/>
          <w:szCs w:val="24"/>
        </w:rPr>
      </w:pPr>
      <w:r w:rsidRPr="00E11010">
        <w:rPr>
          <w:rFonts w:ascii="Calibri" w:hAnsi="Calibri" w:cs="Times New Roman"/>
          <w:noProof/>
          <w:szCs w:val="24"/>
        </w:rPr>
        <w:t xml:space="preserve">Teusink, B., Wiersma, A., Molenaar, D., Francke, C., De Vos, W. M., Siezen, R. J., &amp; Smid, E. J. (2006). Analysis of growth of Lactobacillus plantarum WCFS1 on a complex medium using a genome-scale metabolic model. </w:t>
      </w:r>
      <w:r w:rsidRPr="00E11010">
        <w:rPr>
          <w:rFonts w:ascii="Calibri" w:hAnsi="Calibri" w:cs="Times New Roman"/>
          <w:i/>
          <w:iCs/>
          <w:noProof/>
          <w:szCs w:val="24"/>
        </w:rPr>
        <w:t>Journal of Biological Chemistry</w:t>
      </w:r>
      <w:r w:rsidRPr="00E11010">
        <w:rPr>
          <w:rFonts w:ascii="Calibri" w:hAnsi="Calibri" w:cs="Times New Roman"/>
          <w:noProof/>
          <w:szCs w:val="24"/>
        </w:rPr>
        <w:t xml:space="preserve">, </w:t>
      </w:r>
      <w:r w:rsidRPr="00E11010">
        <w:rPr>
          <w:rFonts w:ascii="Calibri" w:hAnsi="Calibri" w:cs="Times New Roman"/>
          <w:i/>
          <w:iCs/>
          <w:noProof/>
          <w:szCs w:val="24"/>
        </w:rPr>
        <w:t>281</w:t>
      </w:r>
      <w:r w:rsidRPr="00E11010">
        <w:rPr>
          <w:rFonts w:ascii="Calibri" w:hAnsi="Calibri" w:cs="Times New Roman"/>
          <w:noProof/>
          <w:szCs w:val="24"/>
        </w:rPr>
        <w:t>(52), 40041–40048. https://doi.org/10.1074/jbc.M606263200</w:t>
      </w:r>
    </w:p>
    <w:p w14:paraId="5E098870" w14:textId="77777777" w:rsidR="00E11010" w:rsidRPr="00E11010" w:rsidRDefault="00E11010" w:rsidP="00E11010">
      <w:pPr>
        <w:widowControl w:val="0"/>
        <w:autoSpaceDE w:val="0"/>
        <w:autoSpaceDN w:val="0"/>
        <w:adjustRightInd w:val="0"/>
        <w:spacing w:before="120" w:after="120" w:line="240" w:lineRule="atLeast"/>
        <w:ind w:left="480" w:hanging="480"/>
        <w:rPr>
          <w:rFonts w:ascii="Calibri" w:hAnsi="Calibri"/>
          <w:noProof/>
        </w:rPr>
      </w:pPr>
      <w:r w:rsidRPr="00E11010">
        <w:rPr>
          <w:rFonts w:ascii="Calibri" w:hAnsi="Calibri" w:cs="Times New Roman"/>
          <w:noProof/>
          <w:szCs w:val="24"/>
        </w:rPr>
        <w:t xml:space="preserve">Walter, J., Loach, D. M., Alqumber, M., Rockel, C., Hermann, C., Pfitzenmaier, M., &amp; Tannock, G. W. (2007). D-Alanyl ester depletion of teichoic acids in Lactobacillus reuteri 100-23 results in impaired colonization of the mouse gastrointestinal tract. </w:t>
      </w:r>
      <w:r w:rsidRPr="00E11010">
        <w:rPr>
          <w:rFonts w:ascii="Calibri" w:hAnsi="Calibri" w:cs="Times New Roman"/>
          <w:i/>
          <w:iCs/>
          <w:noProof/>
          <w:szCs w:val="24"/>
        </w:rPr>
        <w:t>Environmental Microbiology</w:t>
      </w:r>
      <w:r w:rsidRPr="00E11010">
        <w:rPr>
          <w:rFonts w:ascii="Calibri" w:hAnsi="Calibri" w:cs="Times New Roman"/>
          <w:noProof/>
          <w:szCs w:val="24"/>
        </w:rPr>
        <w:t xml:space="preserve">, </w:t>
      </w:r>
      <w:r w:rsidRPr="00E11010">
        <w:rPr>
          <w:rFonts w:ascii="Calibri" w:hAnsi="Calibri" w:cs="Times New Roman"/>
          <w:i/>
          <w:iCs/>
          <w:noProof/>
          <w:szCs w:val="24"/>
        </w:rPr>
        <w:t>9</w:t>
      </w:r>
      <w:r w:rsidRPr="00E11010">
        <w:rPr>
          <w:rFonts w:ascii="Calibri" w:hAnsi="Calibri" w:cs="Times New Roman"/>
          <w:noProof/>
          <w:szCs w:val="24"/>
        </w:rPr>
        <w:t>(7), 1750–1760. https://doi.org/10.1111/j.1462-2920.2007.01292.x</w:t>
      </w:r>
    </w:p>
    <w:p w14:paraId="7B0FC91A" w14:textId="6BFFB799" w:rsidR="00B30E5E" w:rsidRPr="00F112FD" w:rsidRDefault="00E11010" w:rsidP="00F112FD">
      <w:pPr>
        <w:pStyle w:val="Heading1"/>
        <w:shd w:val="clear" w:color="auto" w:fill="FFFFFF"/>
        <w:spacing w:before="120" w:beforeAutospacing="0" w:after="120" w:afterAutospacing="0" w:line="300" w:lineRule="atLeast"/>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fldChar w:fldCharType="end"/>
      </w:r>
    </w:p>
    <w:sectPr w:rsidR="00B30E5E" w:rsidRPr="00F11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4A"/>
    <w:rsid w:val="00000827"/>
    <w:rsid w:val="000072F6"/>
    <w:rsid w:val="00012249"/>
    <w:rsid w:val="00017ADA"/>
    <w:rsid w:val="00021D49"/>
    <w:rsid w:val="000246C9"/>
    <w:rsid w:val="000251DB"/>
    <w:rsid w:val="0002620C"/>
    <w:rsid w:val="00036D60"/>
    <w:rsid w:val="00040E1B"/>
    <w:rsid w:val="00047410"/>
    <w:rsid w:val="0005077C"/>
    <w:rsid w:val="00051D4C"/>
    <w:rsid w:val="0005552B"/>
    <w:rsid w:val="00055F46"/>
    <w:rsid w:val="000566FC"/>
    <w:rsid w:val="00060870"/>
    <w:rsid w:val="0007183E"/>
    <w:rsid w:val="000722E5"/>
    <w:rsid w:val="0007353D"/>
    <w:rsid w:val="00076AB8"/>
    <w:rsid w:val="0007759C"/>
    <w:rsid w:val="0008163E"/>
    <w:rsid w:val="0008224E"/>
    <w:rsid w:val="000838FA"/>
    <w:rsid w:val="00084AB0"/>
    <w:rsid w:val="00093800"/>
    <w:rsid w:val="00094F0C"/>
    <w:rsid w:val="00094FA2"/>
    <w:rsid w:val="00095A46"/>
    <w:rsid w:val="000A14BC"/>
    <w:rsid w:val="000A257C"/>
    <w:rsid w:val="000A29DF"/>
    <w:rsid w:val="000A3CD0"/>
    <w:rsid w:val="000A7B6D"/>
    <w:rsid w:val="000B4469"/>
    <w:rsid w:val="000B6939"/>
    <w:rsid w:val="000B7D82"/>
    <w:rsid w:val="000C381A"/>
    <w:rsid w:val="000C407B"/>
    <w:rsid w:val="000C71CB"/>
    <w:rsid w:val="000C7200"/>
    <w:rsid w:val="000D1ED9"/>
    <w:rsid w:val="000D36B6"/>
    <w:rsid w:val="000D3BF6"/>
    <w:rsid w:val="000D61B4"/>
    <w:rsid w:val="000D6992"/>
    <w:rsid w:val="000E1C58"/>
    <w:rsid w:val="000E1D8E"/>
    <w:rsid w:val="000E2234"/>
    <w:rsid w:val="000E2C52"/>
    <w:rsid w:val="000E2DFE"/>
    <w:rsid w:val="000E4227"/>
    <w:rsid w:val="000E5BEC"/>
    <w:rsid w:val="000F35A0"/>
    <w:rsid w:val="000F652F"/>
    <w:rsid w:val="001048F1"/>
    <w:rsid w:val="00105C54"/>
    <w:rsid w:val="00111BAA"/>
    <w:rsid w:val="00113A6B"/>
    <w:rsid w:val="00120BEE"/>
    <w:rsid w:val="00122F05"/>
    <w:rsid w:val="00123E5F"/>
    <w:rsid w:val="001304D2"/>
    <w:rsid w:val="00137757"/>
    <w:rsid w:val="001463ED"/>
    <w:rsid w:val="00147C95"/>
    <w:rsid w:val="00151CA9"/>
    <w:rsid w:val="00154A24"/>
    <w:rsid w:val="001551CA"/>
    <w:rsid w:val="00162874"/>
    <w:rsid w:val="001631EC"/>
    <w:rsid w:val="0016791A"/>
    <w:rsid w:val="00170350"/>
    <w:rsid w:val="00170CF8"/>
    <w:rsid w:val="00170FCD"/>
    <w:rsid w:val="00175486"/>
    <w:rsid w:val="00175633"/>
    <w:rsid w:val="00175C8D"/>
    <w:rsid w:val="0017716D"/>
    <w:rsid w:val="00177F5D"/>
    <w:rsid w:val="00181F4B"/>
    <w:rsid w:val="00183263"/>
    <w:rsid w:val="00183AB4"/>
    <w:rsid w:val="001842D9"/>
    <w:rsid w:val="00186A36"/>
    <w:rsid w:val="001904D1"/>
    <w:rsid w:val="00190FE8"/>
    <w:rsid w:val="00193D21"/>
    <w:rsid w:val="001A07A5"/>
    <w:rsid w:val="001B3FBE"/>
    <w:rsid w:val="001B499E"/>
    <w:rsid w:val="001B5548"/>
    <w:rsid w:val="001B79C9"/>
    <w:rsid w:val="001C1860"/>
    <w:rsid w:val="001C582D"/>
    <w:rsid w:val="001C5F86"/>
    <w:rsid w:val="001C6347"/>
    <w:rsid w:val="001C6499"/>
    <w:rsid w:val="001C67AF"/>
    <w:rsid w:val="001C719E"/>
    <w:rsid w:val="001D084D"/>
    <w:rsid w:val="001D2E2F"/>
    <w:rsid w:val="001D304E"/>
    <w:rsid w:val="001D7816"/>
    <w:rsid w:val="001E09D9"/>
    <w:rsid w:val="001E52D3"/>
    <w:rsid w:val="001E5857"/>
    <w:rsid w:val="001E72A6"/>
    <w:rsid w:val="001E7A7F"/>
    <w:rsid w:val="001F178F"/>
    <w:rsid w:val="001F67B6"/>
    <w:rsid w:val="002032BD"/>
    <w:rsid w:val="0020589C"/>
    <w:rsid w:val="00211C98"/>
    <w:rsid w:val="00214C24"/>
    <w:rsid w:val="00220B63"/>
    <w:rsid w:val="002210FE"/>
    <w:rsid w:val="00222AD8"/>
    <w:rsid w:val="00224AB7"/>
    <w:rsid w:val="002253E3"/>
    <w:rsid w:val="00233F34"/>
    <w:rsid w:val="00235FA9"/>
    <w:rsid w:val="002372B6"/>
    <w:rsid w:val="00240E42"/>
    <w:rsid w:val="0024155B"/>
    <w:rsid w:val="0025071C"/>
    <w:rsid w:val="00255484"/>
    <w:rsid w:val="0025650F"/>
    <w:rsid w:val="00256C77"/>
    <w:rsid w:val="00266BD6"/>
    <w:rsid w:val="002717F5"/>
    <w:rsid w:val="00272E69"/>
    <w:rsid w:val="00276D74"/>
    <w:rsid w:val="002801B7"/>
    <w:rsid w:val="00281A7D"/>
    <w:rsid w:val="002844AE"/>
    <w:rsid w:val="00285B5F"/>
    <w:rsid w:val="002873EE"/>
    <w:rsid w:val="00287C44"/>
    <w:rsid w:val="00292AC0"/>
    <w:rsid w:val="002963DA"/>
    <w:rsid w:val="00297DD9"/>
    <w:rsid w:val="002A1D6E"/>
    <w:rsid w:val="002A4951"/>
    <w:rsid w:val="002A56A6"/>
    <w:rsid w:val="002B02FE"/>
    <w:rsid w:val="002B08C9"/>
    <w:rsid w:val="002B1E30"/>
    <w:rsid w:val="002B6AEA"/>
    <w:rsid w:val="002C02AB"/>
    <w:rsid w:val="002C331D"/>
    <w:rsid w:val="002C5845"/>
    <w:rsid w:val="002C64D8"/>
    <w:rsid w:val="002D246F"/>
    <w:rsid w:val="002D29B4"/>
    <w:rsid w:val="002D32BB"/>
    <w:rsid w:val="002D3D95"/>
    <w:rsid w:val="002D7DB8"/>
    <w:rsid w:val="002E07CB"/>
    <w:rsid w:val="002F1D08"/>
    <w:rsid w:val="002F3B0D"/>
    <w:rsid w:val="00307849"/>
    <w:rsid w:val="00310B01"/>
    <w:rsid w:val="00312AE4"/>
    <w:rsid w:val="00317327"/>
    <w:rsid w:val="003219C7"/>
    <w:rsid w:val="0032750C"/>
    <w:rsid w:val="0032795E"/>
    <w:rsid w:val="003332C4"/>
    <w:rsid w:val="00340404"/>
    <w:rsid w:val="003436A0"/>
    <w:rsid w:val="003541C9"/>
    <w:rsid w:val="00356B0C"/>
    <w:rsid w:val="00364107"/>
    <w:rsid w:val="0036690B"/>
    <w:rsid w:val="00371E06"/>
    <w:rsid w:val="003735F9"/>
    <w:rsid w:val="003764EF"/>
    <w:rsid w:val="0038217D"/>
    <w:rsid w:val="00384868"/>
    <w:rsid w:val="00386CF3"/>
    <w:rsid w:val="00390D91"/>
    <w:rsid w:val="00393D71"/>
    <w:rsid w:val="00394969"/>
    <w:rsid w:val="00396697"/>
    <w:rsid w:val="003A3C10"/>
    <w:rsid w:val="003A4F40"/>
    <w:rsid w:val="003B6C32"/>
    <w:rsid w:val="003B7558"/>
    <w:rsid w:val="003C206B"/>
    <w:rsid w:val="003C5A98"/>
    <w:rsid w:val="003D7797"/>
    <w:rsid w:val="003E075B"/>
    <w:rsid w:val="003E104E"/>
    <w:rsid w:val="003E1717"/>
    <w:rsid w:val="003E2EC7"/>
    <w:rsid w:val="003E65A6"/>
    <w:rsid w:val="003F0A02"/>
    <w:rsid w:val="003F61AD"/>
    <w:rsid w:val="00400136"/>
    <w:rsid w:val="00400304"/>
    <w:rsid w:val="00401644"/>
    <w:rsid w:val="00401EF4"/>
    <w:rsid w:val="00402535"/>
    <w:rsid w:val="00407079"/>
    <w:rsid w:val="00413962"/>
    <w:rsid w:val="00413AC9"/>
    <w:rsid w:val="00414210"/>
    <w:rsid w:val="00415F26"/>
    <w:rsid w:val="00426021"/>
    <w:rsid w:val="00427404"/>
    <w:rsid w:val="00430DC9"/>
    <w:rsid w:val="00437030"/>
    <w:rsid w:val="004402DE"/>
    <w:rsid w:val="00441A71"/>
    <w:rsid w:val="00443CFA"/>
    <w:rsid w:val="00443F49"/>
    <w:rsid w:val="00452412"/>
    <w:rsid w:val="00453E3A"/>
    <w:rsid w:val="0046104D"/>
    <w:rsid w:val="00462D67"/>
    <w:rsid w:val="00465003"/>
    <w:rsid w:val="0046706B"/>
    <w:rsid w:val="0046745C"/>
    <w:rsid w:val="0047190E"/>
    <w:rsid w:val="00475B04"/>
    <w:rsid w:val="004760AD"/>
    <w:rsid w:val="0048352D"/>
    <w:rsid w:val="004835CA"/>
    <w:rsid w:val="00486666"/>
    <w:rsid w:val="004876A7"/>
    <w:rsid w:val="004913E8"/>
    <w:rsid w:val="004938AF"/>
    <w:rsid w:val="00495021"/>
    <w:rsid w:val="0049603D"/>
    <w:rsid w:val="004A02EB"/>
    <w:rsid w:val="004A25C2"/>
    <w:rsid w:val="004A30BD"/>
    <w:rsid w:val="004B1324"/>
    <w:rsid w:val="004B3629"/>
    <w:rsid w:val="004B592E"/>
    <w:rsid w:val="004B67C7"/>
    <w:rsid w:val="004C35B2"/>
    <w:rsid w:val="004D1F4A"/>
    <w:rsid w:val="004D2FC3"/>
    <w:rsid w:val="004D3FC0"/>
    <w:rsid w:val="004D426D"/>
    <w:rsid w:val="004D4C01"/>
    <w:rsid w:val="004E1DB2"/>
    <w:rsid w:val="004E23F9"/>
    <w:rsid w:val="004E26F0"/>
    <w:rsid w:val="004E3AEA"/>
    <w:rsid w:val="004E6268"/>
    <w:rsid w:val="004E7B1F"/>
    <w:rsid w:val="004F5EBC"/>
    <w:rsid w:val="0050033E"/>
    <w:rsid w:val="0050303E"/>
    <w:rsid w:val="005054CB"/>
    <w:rsid w:val="00505C80"/>
    <w:rsid w:val="00510367"/>
    <w:rsid w:val="0051675D"/>
    <w:rsid w:val="00521D2A"/>
    <w:rsid w:val="00523665"/>
    <w:rsid w:val="00525556"/>
    <w:rsid w:val="00525BE4"/>
    <w:rsid w:val="005271AE"/>
    <w:rsid w:val="00534F68"/>
    <w:rsid w:val="0053723B"/>
    <w:rsid w:val="00540566"/>
    <w:rsid w:val="00540A92"/>
    <w:rsid w:val="0054354A"/>
    <w:rsid w:val="0055328A"/>
    <w:rsid w:val="0056095C"/>
    <w:rsid w:val="00561FE8"/>
    <w:rsid w:val="0056499E"/>
    <w:rsid w:val="00570D7E"/>
    <w:rsid w:val="00580B2B"/>
    <w:rsid w:val="00580D4F"/>
    <w:rsid w:val="00581CF4"/>
    <w:rsid w:val="00582B92"/>
    <w:rsid w:val="0058342E"/>
    <w:rsid w:val="00583C4D"/>
    <w:rsid w:val="005868FF"/>
    <w:rsid w:val="00590BEA"/>
    <w:rsid w:val="0059130D"/>
    <w:rsid w:val="00592F8C"/>
    <w:rsid w:val="00593BDF"/>
    <w:rsid w:val="00595FE8"/>
    <w:rsid w:val="005A50A1"/>
    <w:rsid w:val="005B0841"/>
    <w:rsid w:val="005B08D4"/>
    <w:rsid w:val="005B5E1C"/>
    <w:rsid w:val="005B5F50"/>
    <w:rsid w:val="005C4869"/>
    <w:rsid w:val="005C72D5"/>
    <w:rsid w:val="005D091A"/>
    <w:rsid w:val="005D1407"/>
    <w:rsid w:val="005D5D19"/>
    <w:rsid w:val="005D5DBF"/>
    <w:rsid w:val="005D7AD8"/>
    <w:rsid w:val="005E068B"/>
    <w:rsid w:val="005F126A"/>
    <w:rsid w:val="005F30F8"/>
    <w:rsid w:val="005F6E87"/>
    <w:rsid w:val="005F7EE2"/>
    <w:rsid w:val="006065CF"/>
    <w:rsid w:val="0061371F"/>
    <w:rsid w:val="00617DE7"/>
    <w:rsid w:val="006207A3"/>
    <w:rsid w:val="00623274"/>
    <w:rsid w:val="00623954"/>
    <w:rsid w:val="00624964"/>
    <w:rsid w:val="00626F18"/>
    <w:rsid w:val="006279FF"/>
    <w:rsid w:val="006301FD"/>
    <w:rsid w:val="00631F1F"/>
    <w:rsid w:val="00632973"/>
    <w:rsid w:val="00632EB5"/>
    <w:rsid w:val="006335A9"/>
    <w:rsid w:val="00635FF7"/>
    <w:rsid w:val="00636B86"/>
    <w:rsid w:val="00641D6F"/>
    <w:rsid w:val="0064302A"/>
    <w:rsid w:val="00643467"/>
    <w:rsid w:val="00644BF8"/>
    <w:rsid w:val="00650B9E"/>
    <w:rsid w:val="006511CD"/>
    <w:rsid w:val="00653A66"/>
    <w:rsid w:val="00654E14"/>
    <w:rsid w:val="00655FB6"/>
    <w:rsid w:val="00662895"/>
    <w:rsid w:val="0066593D"/>
    <w:rsid w:val="00675DD4"/>
    <w:rsid w:val="00682BD6"/>
    <w:rsid w:val="006846CE"/>
    <w:rsid w:val="0069281C"/>
    <w:rsid w:val="00692D0E"/>
    <w:rsid w:val="006939B2"/>
    <w:rsid w:val="00695589"/>
    <w:rsid w:val="00697555"/>
    <w:rsid w:val="00697620"/>
    <w:rsid w:val="00697C43"/>
    <w:rsid w:val="006A086C"/>
    <w:rsid w:val="006A249B"/>
    <w:rsid w:val="006A2655"/>
    <w:rsid w:val="006A3D36"/>
    <w:rsid w:val="006A52D8"/>
    <w:rsid w:val="006A5F90"/>
    <w:rsid w:val="006A78B8"/>
    <w:rsid w:val="006B0615"/>
    <w:rsid w:val="006B1208"/>
    <w:rsid w:val="006B4E0E"/>
    <w:rsid w:val="006B627D"/>
    <w:rsid w:val="006C1ADD"/>
    <w:rsid w:val="006D1752"/>
    <w:rsid w:val="006D338D"/>
    <w:rsid w:val="006D6422"/>
    <w:rsid w:val="006E09A9"/>
    <w:rsid w:val="006E4AC7"/>
    <w:rsid w:val="006F0B3C"/>
    <w:rsid w:val="006F1B61"/>
    <w:rsid w:val="006F1D35"/>
    <w:rsid w:val="006F277C"/>
    <w:rsid w:val="006F294F"/>
    <w:rsid w:val="006F4DFE"/>
    <w:rsid w:val="006F5F2E"/>
    <w:rsid w:val="00707583"/>
    <w:rsid w:val="00714F45"/>
    <w:rsid w:val="00715D10"/>
    <w:rsid w:val="00720667"/>
    <w:rsid w:val="00721493"/>
    <w:rsid w:val="00724886"/>
    <w:rsid w:val="00725CE2"/>
    <w:rsid w:val="007336EB"/>
    <w:rsid w:val="00733F56"/>
    <w:rsid w:val="00735E95"/>
    <w:rsid w:val="007436FE"/>
    <w:rsid w:val="00746365"/>
    <w:rsid w:val="00750BBF"/>
    <w:rsid w:val="0075182A"/>
    <w:rsid w:val="007570BE"/>
    <w:rsid w:val="00757146"/>
    <w:rsid w:val="007639BB"/>
    <w:rsid w:val="0076567A"/>
    <w:rsid w:val="0076595F"/>
    <w:rsid w:val="00773D31"/>
    <w:rsid w:val="0078002F"/>
    <w:rsid w:val="00781524"/>
    <w:rsid w:val="007819CC"/>
    <w:rsid w:val="00785113"/>
    <w:rsid w:val="0078591C"/>
    <w:rsid w:val="0078673F"/>
    <w:rsid w:val="00787ADF"/>
    <w:rsid w:val="00790B83"/>
    <w:rsid w:val="00794C69"/>
    <w:rsid w:val="007A0CB4"/>
    <w:rsid w:val="007A58D4"/>
    <w:rsid w:val="007B155D"/>
    <w:rsid w:val="007B31B2"/>
    <w:rsid w:val="007B689E"/>
    <w:rsid w:val="007B7F45"/>
    <w:rsid w:val="007C1B4A"/>
    <w:rsid w:val="007C4C52"/>
    <w:rsid w:val="007C5173"/>
    <w:rsid w:val="007D12F6"/>
    <w:rsid w:val="007D4F03"/>
    <w:rsid w:val="007D505F"/>
    <w:rsid w:val="007D6986"/>
    <w:rsid w:val="007E466B"/>
    <w:rsid w:val="007E52C9"/>
    <w:rsid w:val="007F4A95"/>
    <w:rsid w:val="007F5C3C"/>
    <w:rsid w:val="008005AB"/>
    <w:rsid w:val="00810B24"/>
    <w:rsid w:val="008114D9"/>
    <w:rsid w:val="00811E50"/>
    <w:rsid w:val="008136B9"/>
    <w:rsid w:val="008138A3"/>
    <w:rsid w:val="00822771"/>
    <w:rsid w:val="00830F11"/>
    <w:rsid w:val="00831291"/>
    <w:rsid w:val="00832031"/>
    <w:rsid w:val="0083256A"/>
    <w:rsid w:val="00832ECF"/>
    <w:rsid w:val="00833F84"/>
    <w:rsid w:val="00835D82"/>
    <w:rsid w:val="008364D7"/>
    <w:rsid w:val="0083786C"/>
    <w:rsid w:val="00837F46"/>
    <w:rsid w:val="0084058D"/>
    <w:rsid w:val="0084338D"/>
    <w:rsid w:val="0084652F"/>
    <w:rsid w:val="00847E7B"/>
    <w:rsid w:val="00853DDA"/>
    <w:rsid w:val="00861998"/>
    <w:rsid w:val="0086790D"/>
    <w:rsid w:val="00872BC1"/>
    <w:rsid w:val="00873F96"/>
    <w:rsid w:val="0087403A"/>
    <w:rsid w:val="008755FC"/>
    <w:rsid w:val="00875A12"/>
    <w:rsid w:val="00880286"/>
    <w:rsid w:val="00882FFE"/>
    <w:rsid w:val="00885F8D"/>
    <w:rsid w:val="008862B2"/>
    <w:rsid w:val="00887885"/>
    <w:rsid w:val="00887D9B"/>
    <w:rsid w:val="008A26F9"/>
    <w:rsid w:val="008A3808"/>
    <w:rsid w:val="008A38D6"/>
    <w:rsid w:val="008A38DC"/>
    <w:rsid w:val="008A3C84"/>
    <w:rsid w:val="008A6523"/>
    <w:rsid w:val="008B28B4"/>
    <w:rsid w:val="008B3084"/>
    <w:rsid w:val="008B429A"/>
    <w:rsid w:val="008B52C5"/>
    <w:rsid w:val="008B71C2"/>
    <w:rsid w:val="008C2328"/>
    <w:rsid w:val="008C4BC7"/>
    <w:rsid w:val="008C5C4E"/>
    <w:rsid w:val="008C6881"/>
    <w:rsid w:val="008D3B75"/>
    <w:rsid w:val="008E2588"/>
    <w:rsid w:val="008E42EC"/>
    <w:rsid w:val="008E466F"/>
    <w:rsid w:val="008E677B"/>
    <w:rsid w:val="008E6BC0"/>
    <w:rsid w:val="008F19DB"/>
    <w:rsid w:val="008F4D19"/>
    <w:rsid w:val="008F70B6"/>
    <w:rsid w:val="00904093"/>
    <w:rsid w:val="009046CF"/>
    <w:rsid w:val="0091512A"/>
    <w:rsid w:val="009246E4"/>
    <w:rsid w:val="00924E45"/>
    <w:rsid w:val="00925D27"/>
    <w:rsid w:val="0092713D"/>
    <w:rsid w:val="00932097"/>
    <w:rsid w:val="0093692F"/>
    <w:rsid w:val="0094024A"/>
    <w:rsid w:val="009424B6"/>
    <w:rsid w:val="00944583"/>
    <w:rsid w:val="0095538F"/>
    <w:rsid w:val="0096218A"/>
    <w:rsid w:val="00965503"/>
    <w:rsid w:val="009678CA"/>
    <w:rsid w:val="009703EC"/>
    <w:rsid w:val="00971A4B"/>
    <w:rsid w:val="00980970"/>
    <w:rsid w:val="00982185"/>
    <w:rsid w:val="00985237"/>
    <w:rsid w:val="00986D6A"/>
    <w:rsid w:val="00990531"/>
    <w:rsid w:val="00990CA5"/>
    <w:rsid w:val="00991265"/>
    <w:rsid w:val="00994A3F"/>
    <w:rsid w:val="00995BA9"/>
    <w:rsid w:val="009A2B61"/>
    <w:rsid w:val="009A3895"/>
    <w:rsid w:val="009A68AE"/>
    <w:rsid w:val="009A6F0F"/>
    <w:rsid w:val="009B0FAF"/>
    <w:rsid w:val="009B100C"/>
    <w:rsid w:val="009B54AE"/>
    <w:rsid w:val="009B73EF"/>
    <w:rsid w:val="009B7DEE"/>
    <w:rsid w:val="009C27FA"/>
    <w:rsid w:val="009C345B"/>
    <w:rsid w:val="009C3C2E"/>
    <w:rsid w:val="009C6C03"/>
    <w:rsid w:val="009C764A"/>
    <w:rsid w:val="009D01A3"/>
    <w:rsid w:val="009D083D"/>
    <w:rsid w:val="009D230B"/>
    <w:rsid w:val="009D3AFF"/>
    <w:rsid w:val="009F15C2"/>
    <w:rsid w:val="009F2C18"/>
    <w:rsid w:val="009F3F08"/>
    <w:rsid w:val="009F5B4E"/>
    <w:rsid w:val="009F6758"/>
    <w:rsid w:val="009F6FCE"/>
    <w:rsid w:val="009F75DB"/>
    <w:rsid w:val="009F7977"/>
    <w:rsid w:val="00A0457B"/>
    <w:rsid w:val="00A04891"/>
    <w:rsid w:val="00A06F18"/>
    <w:rsid w:val="00A07490"/>
    <w:rsid w:val="00A125D6"/>
    <w:rsid w:val="00A1297C"/>
    <w:rsid w:val="00A14185"/>
    <w:rsid w:val="00A147ED"/>
    <w:rsid w:val="00A147EE"/>
    <w:rsid w:val="00A21AC9"/>
    <w:rsid w:val="00A224AB"/>
    <w:rsid w:val="00A26411"/>
    <w:rsid w:val="00A32285"/>
    <w:rsid w:val="00A358E9"/>
    <w:rsid w:val="00A36EA0"/>
    <w:rsid w:val="00A45678"/>
    <w:rsid w:val="00A47123"/>
    <w:rsid w:val="00A5518B"/>
    <w:rsid w:val="00A72DD1"/>
    <w:rsid w:val="00A7510A"/>
    <w:rsid w:val="00A83AE0"/>
    <w:rsid w:val="00A83B34"/>
    <w:rsid w:val="00A85580"/>
    <w:rsid w:val="00A869C0"/>
    <w:rsid w:val="00A87468"/>
    <w:rsid w:val="00A87AE3"/>
    <w:rsid w:val="00A90792"/>
    <w:rsid w:val="00A91CF8"/>
    <w:rsid w:val="00A92326"/>
    <w:rsid w:val="00A9407E"/>
    <w:rsid w:val="00A9449C"/>
    <w:rsid w:val="00A953B0"/>
    <w:rsid w:val="00A95463"/>
    <w:rsid w:val="00A95BDC"/>
    <w:rsid w:val="00A97276"/>
    <w:rsid w:val="00AA4759"/>
    <w:rsid w:val="00AA5FCF"/>
    <w:rsid w:val="00AB184F"/>
    <w:rsid w:val="00AB1B14"/>
    <w:rsid w:val="00AB1F1A"/>
    <w:rsid w:val="00AB3883"/>
    <w:rsid w:val="00AB6714"/>
    <w:rsid w:val="00AB6BBE"/>
    <w:rsid w:val="00AB6E8D"/>
    <w:rsid w:val="00AC270E"/>
    <w:rsid w:val="00AC3A4F"/>
    <w:rsid w:val="00AC749A"/>
    <w:rsid w:val="00AD3B34"/>
    <w:rsid w:val="00AD79ED"/>
    <w:rsid w:val="00AE132F"/>
    <w:rsid w:val="00AE35C7"/>
    <w:rsid w:val="00AF1933"/>
    <w:rsid w:val="00B01670"/>
    <w:rsid w:val="00B06255"/>
    <w:rsid w:val="00B126F9"/>
    <w:rsid w:val="00B12C49"/>
    <w:rsid w:val="00B21086"/>
    <w:rsid w:val="00B24FD0"/>
    <w:rsid w:val="00B2502C"/>
    <w:rsid w:val="00B30E5E"/>
    <w:rsid w:val="00B30F58"/>
    <w:rsid w:val="00B41273"/>
    <w:rsid w:val="00B41A8C"/>
    <w:rsid w:val="00B42552"/>
    <w:rsid w:val="00B44B9A"/>
    <w:rsid w:val="00B470DC"/>
    <w:rsid w:val="00B50412"/>
    <w:rsid w:val="00B520D3"/>
    <w:rsid w:val="00B54A8D"/>
    <w:rsid w:val="00B55FBD"/>
    <w:rsid w:val="00B66BC0"/>
    <w:rsid w:val="00B75275"/>
    <w:rsid w:val="00B75540"/>
    <w:rsid w:val="00B9157A"/>
    <w:rsid w:val="00B93B04"/>
    <w:rsid w:val="00B967CD"/>
    <w:rsid w:val="00BA41AE"/>
    <w:rsid w:val="00BA67F4"/>
    <w:rsid w:val="00BA78E9"/>
    <w:rsid w:val="00BB219F"/>
    <w:rsid w:val="00BB350B"/>
    <w:rsid w:val="00BC0861"/>
    <w:rsid w:val="00BC1D91"/>
    <w:rsid w:val="00BC3593"/>
    <w:rsid w:val="00BC3BD0"/>
    <w:rsid w:val="00BD0876"/>
    <w:rsid w:val="00BD0F90"/>
    <w:rsid w:val="00BD3ADC"/>
    <w:rsid w:val="00BD4CA6"/>
    <w:rsid w:val="00BD50C5"/>
    <w:rsid w:val="00BD5E48"/>
    <w:rsid w:val="00BD6ADC"/>
    <w:rsid w:val="00BD6D0C"/>
    <w:rsid w:val="00BD7870"/>
    <w:rsid w:val="00BE2138"/>
    <w:rsid w:val="00BE3310"/>
    <w:rsid w:val="00BE422A"/>
    <w:rsid w:val="00BE477C"/>
    <w:rsid w:val="00BE5F8B"/>
    <w:rsid w:val="00BE709E"/>
    <w:rsid w:val="00BF0F03"/>
    <w:rsid w:val="00BF3D3B"/>
    <w:rsid w:val="00BF5069"/>
    <w:rsid w:val="00BF53F1"/>
    <w:rsid w:val="00BF6D81"/>
    <w:rsid w:val="00BF7A66"/>
    <w:rsid w:val="00C01A56"/>
    <w:rsid w:val="00C11159"/>
    <w:rsid w:val="00C113AC"/>
    <w:rsid w:val="00C13F4E"/>
    <w:rsid w:val="00C253F0"/>
    <w:rsid w:val="00C25738"/>
    <w:rsid w:val="00C25E9B"/>
    <w:rsid w:val="00C31774"/>
    <w:rsid w:val="00C3442D"/>
    <w:rsid w:val="00C36832"/>
    <w:rsid w:val="00C4006A"/>
    <w:rsid w:val="00C408CD"/>
    <w:rsid w:val="00C40ADC"/>
    <w:rsid w:val="00C40EEC"/>
    <w:rsid w:val="00C4365B"/>
    <w:rsid w:val="00C44494"/>
    <w:rsid w:val="00C5063B"/>
    <w:rsid w:val="00C50C68"/>
    <w:rsid w:val="00C5764A"/>
    <w:rsid w:val="00C6226D"/>
    <w:rsid w:val="00C6377C"/>
    <w:rsid w:val="00C73EA0"/>
    <w:rsid w:val="00C7400E"/>
    <w:rsid w:val="00C81538"/>
    <w:rsid w:val="00C82354"/>
    <w:rsid w:val="00C86D3F"/>
    <w:rsid w:val="00C9167B"/>
    <w:rsid w:val="00CA3092"/>
    <w:rsid w:val="00CA5C12"/>
    <w:rsid w:val="00CA7C7A"/>
    <w:rsid w:val="00CB0E0D"/>
    <w:rsid w:val="00CB2FF1"/>
    <w:rsid w:val="00CB34F9"/>
    <w:rsid w:val="00CB5C4F"/>
    <w:rsid w:val="00CB6366"/>
    <w:rsid w:val="00CC27CE"/>
    <w:rsid w:val="00CC5807"/>
    <w:rsid w:val="00CC5FDA"/>
    <w:rsid w:val="00CC63D9"/>
    <w:rsid w:val="00CC6953"/>
    <w:rsid w:val="00CD63ED"/>
    <w:rsid w:val="00CE2A25"/>
    <w:rsid w:val="00CE39A9"/>
    <w:rsid w:val="00CE3AAD"/>
    <w:rsid w:val="00CE5807"/>
    <w:rsid w:val="00CE79DB"/>
    <w:rsid w:val="00CF3ABF"/>
    <w:rsid w:val="00CF4899"/>
    <w:rsid w:val="00CF716A"/>
    <w:rsid w:val="00D0334E"/>
    <w:rsid w:val="00D1348B"/>
    <w:rsid w:val="00D14E46"/>
    <w:rsid w:val="00D15268"/>
    <w:rsid w:val="00D20B52"/>
    <w:rsid w:val="00D24296"/>
    <w:rsid w:val="00D268EA"/>
    <w:rsid w:val="00D302B8"/>
    <w:rsid w:val="00D31FDB"/>
    <w:rsid w:val="00D372E1"/>
    <w:rsid w:val="00D377BF"/>
    <w:rsid w:val="00D42956"/>
    <w:rsid w:val="00D4608B"/>
    <w:rsid w:val="00D47447"/>
    <w:rsid w:val="00D474AD"/>
    <w:rsid w:val="00D47C45"/>
    <w:rsid w:val="00D51FA9"/>
    <w:rsid w:val="00D53749"/>
    <w:rsid w:val="00D53AAB"/>
    <w:rsid w:val="00D54283"/>
    <w:rsid w:val="00D656CA"/>
    <w:rsid w:val="00D65BA3"/>
    <w:rsid w:val="00D71F71"/>
    <w:rsid w:val="00D74507"/>
    <w:rsid w:val="00D77356"/>
    <w:rsid w:val="00D77785"/>
    <w:rsid w:val="00D77F9A"/>
    <w:rsid w:val="00D80C18"/>
    <w:rsid w:val="00D83AEC"/>
    <w:rsid w:val="00D85D5C"/>
    <w:rsid w:val="00D87E4B"/>
    <w:rsid w:val="00D917C1"/>
    <w:rsid w:val="00D935A7"/>
    <w:rsid w:val="00D955C6"/>
    <w:rsid w:val="00DA22CD"/>
    <w:rsid w:val="00DB41F5"/>
    <w:rsid w:val="00DB5B50"/>
    <w:rsid w:val="00DB79E4"/>
    <w:rsid w:val="00DC1592"/>
    <w:rsid w:val="00DC1F0A"/>
    <w:rsid w:val="00DC58C3"/>
    <w:rsid w:val="00DD1279"/>
    <w:rsid w:val="00DD3320"/>
    <w:rsid w:val="00DD5CE0"/>
    <w:rsid w:val="00DD663E"/>
    <w:rsid w:val="00DE42F1"/>
    <w:rsid w:val="00DE4455"/>
    <w:rsid w:val="00DE44A0"/>
    <w:rsid w:val="00DE6108"/>
    <w:rsid w:val="00DE73C9"/>
    <w:rsid w:val="00DE7EB3"/>
    <w:rsid w:val="00DF3EDA"/>
    <w:rsid w:val="00E008F5"/>
    <w:rsid w:val="00E023FD"/>
    <w:rsid w:val="00E0384C"/>
    <w:rsid w:val="00E03E85"/>
    <w:rsid w:val="00E03FC5"/>
    <w:rsid w:val="00E0742B"/>
    <w:rsid w:val="00E10178"/>
    <w:rsid w:val="00E11010"/>
    <w:rsid w:val="00E12BF9"/>
    <w:rsid w:val="00E13459"/>
    <w:rsid w:val="00E15879"/>
    <w:rsid w:val="00E20F70"/>
    <w:rsid w:val="00E21A94"/>
    <w:rsid w:val="00E249FF"/>
    <w:rsid w:val="00E26D1A"/>
    <w:rsid w:val="00E27B83"/>
    <w:rsid w:val="00E300F1"/>
    <w:rsid w:val="00E3026F"/>
    <w:rsid w:val="00E4099F"/>
    <w:rsid w:val="00E43649"/>
    <w:rsid w:val="00E458B4"/>
    <w:rsid w:val="00E465A7"/>
    <w:rsid w:val="00E51C78"/>
    <w:rsid w:val="00E5296C"/>
    <w:rsid w:val="00E564DD"/>
    <w:rsid w:val="00E56975"/>
    <w:rsid w:val="00E57AB5"/>
    <w:rsid w:val="00E60719"/>
    <w:rsid w:val="00E6204C"/>
    <w:rsid w:val="00E62C8B"/>
    <w:rsid w:val="00E62DA8"/>
    <w:rsid w:val="00E62E16"/>
    <w:rsid w:val="00E65217"/>
    <w:rsid w:val="00E65F8A"/>
    <w:rsid w:val="00E667AA"/>
    <w:rsid w:val="00E70851"/>
    <w:rsid w:val="00E71D8F"/>
    <w:rsid w:val="00E83418"/>
    <w:rsid w:val="00E84E5F"/>
    <w:rsid w:val="00E867A5"/>
    <w:rsid w:val="00E872C8"/>
    <w:rsid w:val="00E87747"/>
    <w:rsid w:val="00E87FF3"/>
    <w:rsid w:val="00E91BA9"/>
    <w:rsid w:val="00E91DB6"/>
    <w:rsid w:val="00E9526B"/>
    <w:rsid w:val="00E96614"/>
    <w:rsid w:val="00E97120"/>
    <w:rsid w:val="00EA4D37"/>
    <w:rsid w:val="00EA4EA4"/>
    <w:rsid w:val="00EA5780"/>
    <w:rsid w:val="00EA6C5E"/>
    <w:rsid w:val="00EA7296"/>
    <w:rsid w:val="00EB1162"/>
    <w:rsid w:val="00EB2035"/>
    <w:rsid w:val="00EB3FC4"/>
    <w:rsid w:val="00EB7535"/>
    <w:rsid w:val="00EC072E"/>
    <w:rsid w:val="00EC0CA3"/>
    <w:rsid w:val="00EC5D57"/>
    <w:rsid w:val="00ED00B3"/>
    <w:rsid w:val="00ED0230"/>
    <w:rsid w:val="00ED1E10"/>
    <w:rsid w:val="00ED4DE1"/>
    <w:rsid w:val="00ED7244"/>
    <w:rsid w:val="00ED7F5E"/>
    <w:rsid w:val="00EE2CE2"/>
    <w:rsid w:val="00EE64F6"/>
    <w:rsid w:val="00EE6D09"/>
    <w:rsid w:val="00EF0D92"/>
    <w:rsid w:val="00EF247D"/>
    <w:rsid w:val="00EF4806"/>
    <w:rsid w:val="00EF7781"/>
    <w:rsid w:val="00F000C2"/>
    <w:rsid w:val="00F01C8C"/>
    <w:rsid w:val="00F02645"/>
    <w:rsid w:val="00F03242"/>
    <w:rsid w:val="00F112FD"/>
    <w:rsid w:val="00F11716"/>
    <w:rsid w:val="00F135CF"/>
    <w:rsid w:val="00F137B3"/>
    <w:rsid w:val="00F143C8"/>
    <w:rsid w:val="00F1710B"/>
    <w:rsid w:val="00F178F0"/>
    <w:rsid w:val="00F17C32"/>
    <w:rsid w:val="00F2236A"/>
    <w:rsid w:val="00F2327D"/>
    <w:rsid w:val="00F2414E"/>
    <w:rsid w:val="00F25FEC"/>
    <w:rsid w:val="00F35428"/>
    <w:rsid w:val="00F47CAE"/>
    <w:rsid w:val="00F518BA"/>
    <w:rsid w:val="00F51E6F"/>
    <w:rsid w:val="00F62164"/>
    <w:rsid w:val="00F63797"/>
    <w:rsid w:val="00F63D24"/>
    <w:rsid w:val="00F72F5C"/>
    <w:rsid w:val="00F764E2"/>
    <w:rsid w:val="00F8079F"/>
    <w:rsid w:val="00F80DB7"/>
    <w:rsid w:val="00F86C3C"/>
    <w:rsid w:val="00F933AC"/>
    <w:rsid w:val="00F933FB"/>
    <w:rsid w:val="00F94C84"/>
    <w:rsid w:val="00FA1512"/>
    <w:rsid w:val="00FA68BF"/>
    <w:rsid w:val="00FB329B"/>
    <w:rsid w:val="00FB38C2"/>
    <w:rsid w:val="00FB47B8"/>
    <w:rsid w:val="00FB5E2A"/>
    <w:rsid w:val="00FC3A30"/>
    <w:rsid w:val="00FC3D4C"/>
    <w:rsid w:val="00FC70AA"/>
    <w:rsid w:val="00FD22B4"/>
    <w:rsid w:val="00FD4FB1"/>
    <w:rsid w:val="00FE232A"/>
    <w:rsid w:val="00FE237C"/>
    <w:rsid w:val="00FE77A0"/>
    <w:rsid w:val="00FF480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C6A1"/>
  <w15:chartTrackingRefBased/>
  <w15:docId w15:val="{24B71F46-DB94-47A5-8DCE-5E611FA4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12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372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1B4A"/>
    <w:rPr>
      <w:color w:val="0563C1" w:themeColor="hyperlink"/>
      <w:u w:val="single"/>
    </w:rPr>
  </w:style>
  <w:style w:type="paragraph" w:styleId="NormalWeb">
    <w:name w:val="Normal (Web)"/>
    <w:basedOn w:val="Normal"/>
    <w:uiPriority w:val="99"/>
    <w:unhideWhenUsed/>
    <w:rsid w:val="009678CA"/>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NoSpacing">
    <w:name w:val="No Spacing"/>
    <w:uiPriority w:val="1"/>
    <w:qFormat/>
    <w:rsid w:val="00E70851"/>
    <w:pPr>
      <w:spacing w:after="0" w:line="240" w:lineRule="auto"/>
    </w:pPr>
  </w:style>
  <w:style w:type="character" w:styleId="UnresolvedMention">
    <w:name w:val="Unresolved Mention"/>
    <w:basedOn w:val="DefaultParagraphFont"/>
    <w:uiPriority w:val="99"/>
    <w:semiHidden/>
    <w:unhideWhenUsed/>
    <w:rsid w:val="004B67C7"/>
    <w:rPr>
      <w:color w:val="808080"/>
      <w:shd w:val="clear" w:color="auto" w:fill="E6E6E6"/>
    </w:rPr>
  </w:style>
  <w:style w:type="character" w:styleId="CommentReference">
    <w:name w:val="annotation reference"/>
    <w:basedOn w:val="DefaultParagraphFont"/>
    <w:uiPriority w:val="99"/>
    <w:semiHidden/>
    <w:unhideWhenUsed/>
    <w:rsid w:val="005B08D4"/>
    <w:rPr>
      <w:sz w:val="16"/>
      <w:szCs w:val="16"/>
    </w:rPr>
  </w:style>
  <w:style w:type="paragraph" w:styleId="CommentText">
    <w:name w:val="annotation text"/>
    <w:basedOn w:val="Normal"/>
    <w:link w:val="CommentTextChar"/>
    <w:uiPriority w:val="99"/>
    <w:semiHidden/>
    <w:unhideWhenUsed/>
    <w:rsid w:val="005B08D4"/>
    <w:pPr>
      <w:spacing w:line="240" w:lineRule="auto"/>
    </w:pPr>
    <w:rPr>
      <w:sz w:val="20"/>
      <w:szCs w:val="20"/>
    </w:rPr>
  </w:style>
  <w:style w:type="character" w:customStyle="1" w:styleId="CommentTextChar">
    <w:name w:val="Comment Text Char"/>
    <w:basedOn w:val="DefaultParagraphFont"/>
    <w:link w:val="CommentText"/>
    <w:uiPriority w:val="99"/>
    <w:semiHidden/>
    <w:rsid w:val="005B08D4"/>
    <w:rPr>
      <w:sz w:val="20"/>
      <w:szCs w:val="20"/>
    </w:rPr>
  </w:style>
  <w:style w:type="paragraph" w:styleId="CommentSubject">
    <w:name w:val="annotation subject"/>
    <w:basedOn w:val="CommentText"/>
    <w:next w:val="CommentText"/>
    <w:link w:val="CommentSubjectChar"/>
    <w:uiPriority w:val="99"/>
    <w:semiHidden/>
    <w:unhideWhenUsed/>
    <w:rsid w:val="005B08D4"/>
    <w:rPr>
      <w:b/>
      <w:bCs/>
    </w:rPr>
  </w:style>
  <w:style w:type="character" w:customStyle="1" w:styleId="CommentSubjectChar">
    <w:name w:val="Comment Subject Char"/>
    <w:basedOn w:val="CommentTextChar"/>
    <w:link w:val="CommentSubject"/>
    <w:uiPriority w:val="99"/>
    <w:semiHidden/>
    <w:rsid w:val="005B08D4"/>
    <w:rPr>
      <w:b/>
      <w:bCs/>
      <w:sz w:val="20"/>
      <w:szCs w:val="20"/>
    </w:rPr>
  </w:style>
  <w:style w:type="paragraph" w:styleId="BalloonText">
    <w:name w:val="Balloon Text"/>
    <w:basedOn w:val="Normal"/>
    <w:link w:val="BalloonTextChar"/>
    <w:uiPriority w:val="99"/>
    <w:semiHidden/>
    <w:unhideWhenUsed/>
    <w:rsid w:val="005B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8D4"/>
    <w:rPr>
      <w:rFonts w:ascii="Segoe UI" w:hAnsi="Segoe UI" w:cs="Segoe UI"/>
      <w:sz w:val="18"/>
      <w:szCs w:val="18"/>
    </w:rPr>
  </w:style>
  <w:style w:type="character" w:styleId="FollowedHyperlink">
    <w:name w:val="FollowedHyperlink"/>
    <w:basedOn w:val="DefaultParagraphFont"/>
    <w:uiPriority w:val="99"/>
    <w:semiHidden/>
    <w:unhideWhenUsed/>
    <w:rsid w:val="00655FB6"/>
    <w:rPr>
      <w:color w:val="954F72" w:themeColor="followedHyperlink"/>
      <w:u w:val="single"/>
    </w:rPr>
  </w:style>
  <w:style w:type="character" w:customStyle="1" w:styleId="Heading1Char">
    <w:name w:val="Heading 1 Char"/>
    <w:basedOn w:val="DefaultParagraphFont"/>
    <w:link w:val="Heading1"/>
    <w:uiPriority w:val="9"/>
    <w:rsid w:val="00F112FD"/>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53723B"/>
    <w:rPr>
      <w:i/>
      <w:iCs/>
    </w:rPr>
  </w:style>
  <w:style w:type="character" w:customStyle="1" w:styleId="Heading2Char">
    <w:name w:val="Heading 2 Char"/>
    <w:basedOn w:val="DefaultParagraphFont"/>
    <w:link w:val="Heading2"/>
    <w:uiPriority w:val="9"/>
    <w:semiHidden/>
    <w:rsid w:val="005372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66">
      <w:bodyDiv w:val="1"/>
      <w:marLeft w:val="0"/>
      <w:marRight w:val="0"/>
      <w:marTop w:val="0"/>
      <w:marBottom w:val="0"/>
      <w:divBdr>
        <w:top w:val="none" w:sz="0" w:space="0" w:color="auto"/>
        <w:left w:val="none" w:sz="0" w:space="0" w:color="auto"/>
        <w:bottom w:val="none" w:sz="0" w:space="0" w:color="auto"/>
        <w:right w:val="none" w:sz="0" w:space="0" w:color="auto"/>
      </w:divBdr>
    </w:div>
    <w:div w:id="29495106">
      <w:bodyDiv w:val="1"/>
      <w:marLeft w:val="0"/>
      <w:marRight w:val="0"/>
      <w:marTop w:val="0"/>
      <w:marBottom w:val="0"/>
      <w:divBdr>
        <w:top w:val="none" w:sz="0" w:space="0" w:color="auto"/>
        <w:left w:val="none" w:sz="0" w:space="0" w:color="auto"/>
        <w:bottom w:val="none" w:sz="0" w:space="0" w:color="auto"/>
        <w:right w:val="none" w:sz="0" w:space="0" w:color="auto"/>
      </w:divBdr>
    </w:div>
    <w:div w:id="163668630">
      <w:bodyDiv w:val="1"/>
      <w:marLeft w:val="0"/>
      <w:marRight w:val="0"/>
      <w:marTop w:val="0"/>
      <w:marBottom w:val="0"/>
      <w:divBdr>
        <w:top w:val="none" w:sz="0" w:space="0" w:color="auto"/>
        <w:left w:val="none" w:sz="0" w:space="0" w:color="auto"/>
        <w:bottom w:val="none" w:sz="0" w:space="0" w:color="auto"/>
        <w:right w:val="none" w:sz="0" w:space="0" w:color="auto"/>
      </w:divBdr>
    </w:div>
    <w:div w:id="169104642">
      <w:bodyDiv w:val="1"/>
      <w:marLeft w:val="0"/>
      <w:marRight w:val="0"/>
      <w:marTop w:val="0"/>
      <w:marBottom w:val="0"/>
      <w:divBdr>
        <w:top w:val="none" w:sz="0" w:space="0" w:color="auto"/>
        <w:left w:val="none" w:sz="0" w:space="0" w:color="auto"/>
        <w:bottom w:val="none" w:sz="0" w:space="0" w:color="auto"/>
        <w:right w:val="none" w:sz="0" w:space="0" w:color="auto"/>
      </w:divBdr>
    </w:div>
    <w:div w:id="172844923">
      <w:bodyDiv w:val="1"/>
      <w:marLeft w:val="0"/>
      <w:marRight w:val="0"/>
      <w:marTop w:val="0"/>
      <w:marBottom w:val="0"/>
      <w:divBdr>
        <w:top w:val="none" w:sz="0" w:space="0" w:color="auto"/>
        <w:left w:val="none" w:sz="0" w:space="0" w:color="auto"/>
        <w:bottom w:val="none" w:sz="0" w:space="0" w:color="auto"/>
        <w:right w:val="none" w:sz="0" w:space="0" w:color="auto"/>
      </w:divBdr>
    </w:div>
    <w:div w:id="212468684">
      <w:bodyDiv w:val="1"/>
      <w:marLeft w:val="0"/>
      <w:marRight w:val="0"/>
      <w:marTop w:val="0"/>
      <w:marBottom w:val="0"/>
      <w:divBdr>
        <w:top w:val="none" w:sz="0" w:space="0" w:color="auto"/>
        <w:left w:val="none" w:sz="0" w:space="0" w:color="auto"/>
        <w:bottom w:val="none" w:sz="0" w:space="0" w:color="auto"/>
        <w:right w:val="none" w:sz="0" w:space="0" w:color="auto"/>
      </w:divBdr>
    </w:div>
    <w:div w:id="310715035">
      <w:bodyDiv w:val="1"/>
      <w:marLeft w:val="0"/>
      <w:marRight w:val="0"/>
      <w:marTop w:val="0"/>
      <w:marBottom w:val="0"/>
      <w:divBdr>
        <w:top w:val="none" w:sz="0" w:space="0" w:color="auto"/>
        <w:left w:val="none" w:sz="0" w:space="0" w:color="auto"/>
        <w:bottom w:val="none" w:sz="0" w:space="0" w:color="auto"/>
        <w:right w:val="none" w:sz="0" w:space="0" w:color="auto"/>
      </w:divBdr>
    </w:div>
    <w:div w:id="319308552">
      <w:bodyDiv w:val="1"/>
      <w:marLeft w:val="0"/>
      <w:marRight w:val="0"/>
      <w:marTop w:val="0"/>
      <w:marBottom w:val="0"/>
      <w:divBdr>
        <w:top w:val="none" w:sz="0" w:space="0" w:color="auto"/>
        <w:left w:val="none" w:sz="0" w:space="0" w:color="auto"/>
        <w:bottom w:val="none" w:sz="0" w:space="0" w:color="auto"/>
        <w:right w:val="none" w:sz="0" w:space="0" w:color="auto"/>
      </w:divBdr>
    </w:div>
    <w:div w:id="440076719">
      <w:bodyDiv w:val="1"/>
      <w:marLeft w:val="0"/>
      <w:marRight w:val="0"/>
      <w:marTop w:val="0"/>
      <w:marBottom w:val="0"/>
      <w:divBdr>
        <w:top w:val="none" w:sz="0" w:space="0" w:color="auto"/>
        <w:left w:val="none" w:sz="0" w:space="0" w:color="auto"/>
        <w:bottom w:val="none" w:sz="0" w:space="0" w:color="auto"/>
        <w:right w:val="none" w:sz="0" w:space="0" w:color="auto"/>
      </w:divBdr>
    </w:div>
    <w:div w:id="484247783">
      <w:bodyDiv w:val="1"/>
      <w:marLeft w:val="0"/>
      <w:marRight w:val="0"/>
      <w:marTop w:val="0"/>
      <w:marBottom w:val="0"/>
      <w:divBdr>
        <w:top w:val="none" w:sz="0" w:space="0" w:color="auto"/>
        <w:left w:val="none" w:sz="0" w:space="0" w:color="auto"/>
        <w:bottom w:val="none" w:sz="0" w:space="0" w:color="auto"/>
        <w:right w:val="none" w:sz="0" w:space="0" w:color="auto"/>
      </w:divBdr>
    </w:div>
    <w:div w:id="531262445">
      <w:bodyDiv w:val="1"/>
      <w:marLeft w:val="0"/>
      <w:marRight w:val="0"/>
      <w:marTop w:val="0"/>
      <w:marBottom w:val="0"/>
      <w:divBdr>
        <w:top w:val="none" w:sz="0" w:space="0" w:color="auto"/>
        <w:left w:val="none" w:sz="0" w:space="0" w:color="auto"/>
        <w:bottom w:val="none" w:sz="0" w:space="0" w:color="auto"/>
        <w:right w:val="none" w:sz="0" w:space="0" w:color="auto"/>
      </w:divBdr>
    </w:div>
    <w:div w:id="645203157">
      <w:bodyDiv w:val="1"/>
      <w:marLeft w:val="0"/>
      <w:marRight w:val="0"/>
      <w:marTop w:val="0"/>
      <w:marBottom w:val="0"/>
      <w:divBdr>
        <w:top w:val="none" w:sz="0" w:space="0" w:color="auto"/>
        <w:left w:val="none" w:sz="0" w:space="0" w:color="auto"/>
        <w:bottom w:val="none" w:sz="0" w:space="0" w:color="auto"/>
        <w:right w:val="none" w:sz="0" w:space="0" w:color="auto"/>
      </w:divBdr>
    </w:div>
    <w:div w:id="664477629">
      <w:bodyDiv w:val="1"/>
      <w:marLeft w:val="0"/>
      <w:marRight w:val="0"/>
      <w:marTop w:val="0"/>
      <w:marBottom w:val="0"/>
      <w:divBdr>
        <w:top w:val="none" w:sz="0" w:space="0" w:color="auto"/>
        <w:left w:val="none" w:sz="0" w:space="0" w:color="auto"/>
        <w:bottom w:val="none" w:sz="0" w:space="0" w:color="auto"/>
        <w:right w:val="none" w:sz="0" w:space="0" w:color="auto"/>
      </w:divBdr>
    </w:div>
    <w:div w:id="682171840">
      <w:bodyDiv w:val="1"/>
      <w:marLeft w:val="0"/>
      <w:marRight w:val="0"/>
      <w:marTop w:val="0"/>
      <w:marBottom w:val="0"/>
      <w:divBdr>
        <w:top w:val="none" w:sz="0" w:space="0" w:color="auto"/>
        <w:left w:val="none" w:sz="0" w:space="0" w:color="auto"/>
        <w:bottom w:val="none" w:sz="0" w:space="0" w:color="auto"/>
        <w:right w:val="none" w:sz="0" w:space="0" w:color="auto"/>
      </w:divBdr>
    </w:div>
    <w:div w:id="752118654">
      <w:bodyDiv w:val="1"/>
      <w:marLeft w:val="0"/>
      <w:marRight w:val="0"/>
      <w:marTop w:val="0"/>
      <w:marBottom w:val="0"/>
      <w:divBdr>
        <w:top w:val="none" w:sz="0" w:space="0" w:color="auto"/>
        <w:left w:val="none" w:sz="0" w:space="0" w:color="auto"/>
        <w:bottom w:val="none" w:sz="0" w:space="0" w:color="auto"/>
        <w:right w:val="none" w:sz="0" w:space="0" w:color="auto"/>
      </w:divBdr>
    </w:div>
    <w:div w:id="801385400">
      <w:bodyDiv w:val="1"/>
      <w:marLeft w:val="0"/>
      <w:marRight w:val="0"/>
      <w:marTop w:val="0"/>
      <w:marBottom w:val="0"/>
      <w:divBdr>
        <w:top w:val="none" w:sz="0" w:space="0" w:color="auto"/>
        <w:left w:val="none" w:sz="0" w:space="0" w:color="auto"/>
        <w:bottom w:val="none" w:sz="0" w:space="0" w:color="auto"/>
        <w:right w:val="none" w:sz="0" w:space="0" w:color="auto"/>
      </w:divBdr>
    </w:div>
    <w:div w:id="817577278">
      <w:bodyDiv w:val="1"/>
      <w:marLeft w:val="0"/>
      <w:marRight w:val="0"/>
      <w:marTop w:val="0"/>
      <w:marBottom w:val="0"/>
      <w:divBdr>
        <w:top w:val="none" w:sz="0" w:space="0" w:color="auto"/>
        <w:left w:val="none" w:sz="0" w:space="0" w:color="auto"/>
        <w:bottom w:val="none" w:sz="0" w:space="0" w:color="auto"/>
        <w:right w:val="none" w:sz="0" w:space="0" w:color="auto"/>
      </w:divBdr>
    </w:div>
    <w:div w:id="889268478">
      <w:bodyDiv w:val="1"/>
      <w:marLeft w:val="0"/>
      <w:marRight w:val="0"/>
      <w:marTop w:val="0"/>
      <w:marBottom w:val="0"/>
      <w:divBdr>
        <w:top w:val="none" w:sz="0" w:space="0" w:color="auto"/>
        <w:left w:val="none" w:sz="0" w:space="0" w:color="auto"/>
        <w:bottom w:val="none" w:sz="0" w:space="0" w:color="auto"/>
        <w:right w:val="none" w:sz="0" w:space="0" w:color="auto"/>
      </w:divBdr>
    </w:div>
    <w:div w:id="951326088">
      <w:bodyDiv w:val="1"/>
      <w:marLeft w:val="0"/>
      <w:marRight w:val="0"/>
      <w:marTop w:val="0"/>
      <w:marBottom w:val="0"/>
      <w:divBdr>
        <w:top w:val="none" w:sz="0" w:space="0" w:color="auto"/>
        <w:left w:val="none" w:sz="0" w:space="0" w:color="auto"/>
        <w:bottom w:val="none" w:sz="0" w:space="0" w:color="auto"/>
        <w:right w:val="none" w:sz="0" w:space="0" w:color="auto"/>
      </w:divBdr>
    </w:div>
    <w:div w:id="1002507204">
      <w:bodyDiv w:val="1"/>
      <w:marLeft w:val="0"/>
      <w:marRight w:val="0"/>
      <w:marTop w:val="0"/>
      <w:marBottom w:val="0"/>
      <w:divBdr>
        <w:top w:val="none" w:sz="0" w:space="0" w:color="auto"/>
        <w:left w:val="none" w:sz="0" w:space="0" w:color="auto"/>
        <w:bottom w:val="none" w:sz="0" w:space="0" w:color="auto"/>
        <w:right w:val="none" w:sz="0" w:space="0" w:color="auto"/>
      </w:divBdr>
    </w:div>
    <w:div w:id="1015152658">
      <w:bodyDiv w:val="1"/>
      <w:marLeft w:val="0"/>
      <w:marRight w:val="0"/>
      <w:marTop w:val="0"/>
      <w:marBottom w:val="0"/>
      <w:divBdr>
        <w:top w:val="none" w:sz="0" w:space="0" w:color="auto"/>
        <w:left w:val="none" w:sz="0" w:space="0" w:color="auto"/>
        <w:bottom w:val="none" w:sz="0" w:space="0" w:color="auto"/>
        <w:right w:val="none" w:sz="0" w:space="0" w:color="auto"/>
      </w:divBdr>
    </w:div>
    <w:div w:id="1057586833">
      <w:bodyDiv w:val="1"/>
      <w:marLeft w:val="0"/>
      <w:marRight w:val="0"/>
      <w:marTop w:val="0"/>
      <w:marBottom w:val="0"/>
      <w:divBdr>
        <w:top w:val="none" w:sz="0" w:space="0" w:color="auto"/>
        <w:left w:val="none" w:sz="0" w:space="0" w:color="auto"/>
        <w:bottom w:val="none" w:sz="0" w:space="0" w:color="auto"/>
        <w:right w:val="none" w:sz="0" w:space="0" w:color="auto"/>
      </w:divBdr>
    </w:div>
    <w:div w:id="1148474040">
      <w:bodyDiv w:val="1"/>
      <w:marLeft w:val="0"/>
      <w:marRight w:val="0"/>
      <w:marTop w:val="0"/>
      <w:marBottom w:val="0"/>
      <w:divBdr>
        <w:top w:val="none" w:sz="0" w:space="0" w:color="auto"/>
        <w:left w:val="none" w:sz="0" w:space="0" w:color="auto"/>
        <w:bottom w:val="none" w:sz="0" w:space="0" w:color="auto"/>
        <w:right w:val="none" w:sz="0" w:space="0" w:color="auto"/>
      </w:divBdr>
    </w:div>
    <w:div w:id="1370883615">
      <w:bodyDiv w:val="1"/>
      <w:marLeft w:val="0"/>
      <w:marRight w:val="0"/>
      <w:marTop w:val="0"/>
      <w:marBottom w:val="0"/>
      <w:divBdr>
        <w:top w:val="none" w:sz="0" w:space="0" w:color="auto"/>
        <w:left w:val="none" w:sz="0" w:space="0" w:color="auto"/>
        <w:bottom w:val="none" w:sz="0" w:space="0" w:color="auto"/>
        <w:right w:val="none" w:sz="0" w:space="0" w:color="auto"/>
      </w:divBdr>
    </w:div>
    <w:div w:id="1534728267">
      <w:bodyDiv w:val="1"/>
      <w:marLeft w:val="0"/>
      <w:marRight w:val="0"/>
      <w:marTop w:val="0"/>
      <w:marBottom w:val="0"/>
      <w:divBdr>
        <w:top w:val="none" w:sz="0" w:space="0" w:color="auto"/>
        <w:left w:val="none" w:sz="0" w:space="0" w:color="auto"/>
        <w:bottom w:val="none" w:sz="0" w:space="0" w:color="auto"/>
        <w:right w:val="none" w:sz="0" w:space="0" w:color="auto"/>
      </w:divBdr>
      <w:divsChild>
        <w:div w:id="244648809">
          <w:marLeft w:val="0"/>
          <w:marRight w:val="0"/>
          <w:marTop w:val="0"/>
          <w:marBottom w:val="0"/>
          <w:divBdr>
            <w:top w:val="none" w:sz="0" w:space="0" w:color="auto"/>
            <w:left w:val="none" w:sz="0" w:space="0" w:color="auto"/>
            <w:bottom w:val="none" w:sz="0" w:space="0" w:color="auto"/>
            <w:right w:val="none" w:sz="0" w:space="0" w:color="auto"/>
          </w:divBdr>
        </w:div>
        <w:div w:id="1302921405">
          <w:marLeft w:val="0"/>
          <w:marRight w:val="0"/>
          <w:marTop w:val="0"/>
          <w:marBottom w:val="0"/>
          <w:divBdr>
            <w:top w:val="none" w:sz="0" w:space="0" w:color="auto"/>
            <w:left w:val="none" w:sz="0" w:space="0" w:color="auto"/>
            <w:bottom w:val="none" w:sz="0" w:space="0" w:color="auto"/>
            <w:right w:val="none" w:sz="0" w:space="0" w:color="auto"/>
          </w:divBdr>
        </w:div>
      </w:divsChild>
    </w:div>
    <w:div w:id="1540437222">
      <w:bodyDiv w:val="1"/>
      <w:marLeft w:val="0"/>
      <w:marRight w:val="0"/>
      <w:marTop w:val="0"/>
      <w:marBottom w:val="0"/>
      <w:divBdr>
        <w:top w:val="none" w:sz="0" w:space="0" w:color="auto"/>
        <w:left w:val="none" w:sz="0" w:space="0" w:color="auto"/>
        <w:bottom w:val="none" w:sz="0" w:space="0" w:color="auto"/>
        <w:right w:val="none" w:sz="0" w:space="0" w:color="auto"/>
      </w:divBdr>
    </w:div>
    <w:div w:id="1550067059">
      <w:bodyDiv w:val="1"/>
      <w:marLeft w:val="0"/>
      <w:marRight w:val="0"/>
      <w:marTop w:val="0"/>
      <w:marBottom w:val="0"/>
      <w:divBdr>
        <w:top w:val="none" w:sz="0" w:space="0" w:color="auto"/>
        <w:left w:val="none" w:sz="0" w:space="0" w:color="auto"/>
        <w:bottom w:val="none" w:sz="0" w:space="0" w:color="auto"/>
        <w:right w:val="none" w:sz="0" w:space="0" w:color="auto"/>
      </w:divBdr>
    </w:div>
    <w:div w:id="1671450726">
      <w:bodyDiv w:val="1"/>
      <w:marLeft w:val="0"/>
      <w:marRight w:val="0"/>
      <w:marTop w:val="0"/>
      <w:marBottom w:val="0"/>
      <w:divBdr>
        <w:top w:val="none" w:sz="0" w:space="0" w:color="auto"/>
        <w:left w:val="none" w:sz="0" w:space="0" w:color="auto"/>
        <w:bottom w:val="none" w:sz="0" w:space="0" w:color="auto"/>
        <w:right w:val="none" w:sz="0" w:space="0" w:color="auto"/>
      </w:divBdr>
    </w:div>
    <w:div w:id="1764959936">
      <w:bodyDiv w:val="1"/>
      <w:marLeft w:val="0"/>
      <w:marRight w:val="0"/>
      <w:marTop w:val="0"/>
      <w:marBottom w:val="0"/>
      <w:divBdr>
        <w:top w:val="none" w:sz="0" w:space="0" w:color="auto"/>
        <w:left w:val="none" w:sz="0" w:space="0" w:color="auto"/>
        <w:bottom w:val="none" w:sz="0" w:space="0" w:color="auto"/>
        <w:right w:val="none" w:sz="0" w:space="0" w:color="auto"/>
      </w:divBdr>
    </w:div>
    <w:div w:id="1936134805">
      <w:bodyDiv w:val="1"/>
      <w:marLeft w:val="0"/>
      <w:marRight w:val="0"/>
      <w:marTop w:val="0"/>
      <w:marBottom w:val="0"/>
      <w:divBdr>
        <w:top w:val="none" w:sz="0" w:space="0" w:color="auto"/>
        <w:left w:val="none" w:sz="0" w:space="0" w:color="auto"/>
        <w:bottom w:val="none" w:sz="0" w:space="0" w:color="auto"/>
        <w:right w:val="none" w:sz="0" w:space="0" w:color="auto"/>
      </w:divBdr>
    </w:div>
    <w:div w:id="1957953763">
      <w:bodyDiv w:val="1"/>
      <w:marLeft w:val="0"/>
      <w:marRight w:val="0"/>
      <w:marTop w:val="0"/>
      <w:marBottom w:val="0"/>
      <w:divBdr>
        <w:top w:val="none" w:sz="0" w:space="0" w:color="auto"/>
        <w:left w:val="none" w:sz="0" w:space="0" w:color="auto"/>
        <w:bottom w:val="none" w:sz="0" w:space="0" w:color="auto"/>
        <w:right w:val="none" w:sz="0" w:space="0" w:color="auto"/>
      </w:divBdr>
    </w:div>
    <w:div w:id="2013339236">
      <w:bodyDiv w:val="1"/>
      <w:marLeft w:val="0"/>
      <w:marRight w:val="0"/>
      <w:marTop w:val="0"/>
      <w:marBottom w:val="0"/>
      <w:divBdr>
        <w:top w:val="none" w:sz="0" w:space="0" w:color="auto"/>
        <w:left w:val="none" w:sz="0" w:space="0" w:color="auto"/>
        <w:bottom w:val="none" w:sz="0" w:space="0" w:color="auto"/>
        <w:right w:val="none" w:sz="0" w:space="0" w:color="auto"/>
      </w:divBdr>
    </w:div>
    <w:div w:id="2014525014">
      <w:bodyDiv w:val="1"/>
      <w:marLeft w:val="0"/>
      <w:marRight w:val="0"/>
      <w:marTop w:val="0"/>
      <w:marBottom w:val="0"/>
      <w:divBdr>
        <w:top w:val="none" w:sz="0" w:space="0" w:color="auto"/>
        <w:left w:val="none" w:sz="0" w:space="0" w:color="auto"/>
        <w:bottom w:val="none" w:sz="0" w:space="0" w:color="auto"/>
        <w:right w:val="none" w:sz="0" w:space="0" w:color="auto"/>
      </w:divBdr>
    </w:div>
    <w:div w:id="21283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57403-FC04-4B43-B6BB-A85F5FC6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22354</TotalTime>
  <Pages>6</Pages>
  <Words>8987</Words>
  <Characters>51230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Þórdís Kristjánsdóttir</dc:creator>
  <cp:keywords/>
  <dc:description/>
  <cp:lastModifiedBy>Þórdís Kristjánsdóttir</cp:lastModifiedBy>
  <cp:revision>19</cp:revision>
  <dcterms:created xsi:type="dcterms:W3CDTF">2017-10-23T14:05:00Z</dcterms:created>
  <dcterms:modified xsi:type="dcterms:W3CDTF">2019-05-29T13:49:00Z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9bcbf7d7-ffaa-371e-bb70-67c9945b8c37</vt:lpwstr>
  </property>
  <property fmtid="{D5CDD505-2E9C-101B-9397-08002B2CF9AE}" pid="24" name="Mendeley Citation Style_1">
    <vt:lpwstr>http://www.zotero.org/styles/apa</vt:lpwstr>
  </property>
</Properties>
</file>