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
      </w:pPr>
      <w:r>
        <w:rPr>
          <w:rFonts w:ascii="Calibri" w:cs="Calibri" w:eastAsia="Calibri" w:hAnsi="Calibri"/>
          <w:b/>
          <w:bCs/>
          <w:color w:val="1F3864"/>
          <w:sz w:val="64"/>
          <w:szCs w:val="64"/>
        </w:rPr>
        <w:t xml:space="preserve">SGIT-CCTV</w:t>
      </w:r>
    </w:p>
    <w:p>
      <w:pPr>
        <w:spacing w:after="400"/>
      </w:pPr>
      <w:r>
        <w:rPr>
          <w:rFonts w:ascii="Calibri" w:cs="Calibri" w:eastAsia="Calibri" w:hAnsi="Calibri"/>
          <w:color w:val="44546A"/>
          <w:sz w:val="26"/>
          <w:szCs w:val="26"/>
        </w:rPr>
        <w:t xml:space="preserve">Sistema de Gestión de Infraestructura Tecnológica y CCTV</w:t>
      </w:r>
    </w:p>
    <w:p>
      <w:pPr>
        <w:pBdr>
          <w:bottom w:val="single" w:color="1F3864" w:sz="12" w:space="6"/>
        </w:pBdr>
        <w:spacing w:after="300"/>
      </w:pPr>
      <w:r>
        <w:rPr>
          <w:rFonts w:ascii="Calibri" w:cs="Calibri" w:eastAsia="Calibri" w:hAnsi="Calibri"/>
          <w:b/>
          <w:bCs/>
          <w:color w:val="222222"/>
          <w:sz w:val="36"/>
          <w:szCs w:val="36"/>
        </w:rPr>
        <w:t xml:space="preserve">Módulos, normas y buenas prácticas de campo</w:t>
      </w:r>
    </w:p>
    <w:p>
      <w:pPr>
        <w:spacing w:after="120" w:line="276"/>
      </w:pPr>
      <w:r>
        <w:rPr>
          <w:rFonts w:ascii="Calibri" w:cs="Calibri" w:eastAsia="Calibri" w:hAnsi="Calibri"/>
          <w:color w:val="44546A"/>
          <w:sz w:val="23"/>
          <w:szCs w:val="23"/>
        </w:rPr>
        <w:t xml:space="preserve">Qué hace cada módulo, qué normas obligan al técnico en planta, y cómo el software las hace cumplir en vez de sólo documentarlas.</w:t>
      </w:r>
    </w:p>
    <w:p>
      <w:pPr>
        <w:spacing w:before="800"/>
      </w:pPr>
    </w:p>
    <w:p>
      <w:pPr>
        <w:spacing w:after="120" w:line="276"/>
      </w:pPr>
      <w:r>
        <w:rPr>
          <w:rFonts w:ascii="Calibri" w:cs="Calibri" w:eastAsia="Calibri" w:hAnsi="Calibri"/>
          <w:b/>
          <w:bCs/>
          <w:color w:val="222222"/>
          <w:sz w:val="22"/>
          <w:szCs w:val="22"/>
        </w:rPr>
        <w:t xml:space="preserve">Planta: </w:t>
      </w:r>
      <w:r>
        <w:rPr>
          <w:rFonts w:ascii="Calibri" w:cs="Calibri" w:eastAsia="Calibri" w:hAnsi="Calibri"/>
          <w:color w:val="222222"/>
          <w:sz w:val="22"/>
          <w:szCs w:val="22"/>
        </w:rPr>
        <w:t xml:space="preserve">Aceros Arequipa · Pisco — Laminación, Trenes 1, 2 y 3</w:t>
      </w:r>
    </w:p>
    <w:p>
      <w:pPr>
        <w:spacing w:after="120" w:line="276"/>
      </w:pPr>
      <w:r>
        <w:rPr>
          <w:rFonts w:ascii="Calibri" w:cs="Calibri" w:eastAsia="Calibri" w:hAnsi="Calibri"/>
          <w:b/>
          <w:bCs/>
          <w:color w:val="222222"/>
          <w:sz w:val="22"/>
          <w:szCs w:val="22"/>
        </w:rPr>
        <w:t xml:space="preserve">Versión: </w:t>
      </w:r>
      <w:r>
        <w:rPr>
          <w:rFonts w:ascii="Calibri" w:cs="Calibri" w:eastAsia="Calibri" w:hAnsi="Calibri"/>
          <w:color w:val="222222"/>
          <w:sz w:val="22"/>
          <w:szCs w:val="22"/>
        </w:rPr>
        <w:t xml:space="preserve">hasta el bloque 43 · desplegado en producción</w:t>
      </w:r>
    </w:p>
    <w:p>
      <w:pPr>
        <w:spacing w:after="120" w:line="276"/>
      </w:pPr>
      <w:r>
        <w:rPr>
          <w:rFonts w:ascii="Calibri" w:cs="Calibri" w:eastAsia="Calibri" w:hAnsi="Calibri"/>
          <w:b/>
          <w:bCs/>
          <w:color w:val="222222"/>
          <w:sz w:val="22"/>
          <w:szCs w:val="22"/>
        </w:rPr>
        <w:t xml:space="preserve">Fecha: </w:t>
      </w:r>
      <w:r>
        <w:rPr>
          <w:rFonts w:ascii="Calibri" w:cs="Calibri" w:eastAsia="Calibri" w:hAnsi="Calibri"/>
          <w:color w:val="222222"/>
          <w:sz w:val="22"/>
          <w:szCs w:val="22"/>
        </w:rPr>
        <w:t xml:space="preserve">17 de agosto de 2026</w:t>
      </w:r>
    </w:p>
    <w:p>
      <w:pPr>
        <w:spacing w:after="120" w:line="276"/>
      </w:pPr>
      <w:r>
        <w:rPr>
          <w:rFonts w:ascii="Calibri" w:cs="Calibri" w:eastAsia="Calibri" w:hAnsi="Calibri"/>
          <w:b/>
          <w:bCs/>
          <w:color w:val="222222"/>
          <w:sz w:val="22"/>
          <w:szCs w:val="22"/>
        </w:rPr>
        <w:t xml:space="preserve">Autor: </w:t>
      </w:r>
      <w:r>
        <w:rPr>
          <w:rFonts w:ascii="Calibri" w:cs="Calibri" w:eastAsia="Calibri" w:hAnsi="Calibri"/>
          <w:color w:val="222222"/>
          <w:sz w:val="22"/>
          <w:szCs w:val="22"/>
        </w:rPr>
        <w:t xml:space="preserve">Cristhian Rondón Amanqui</w:t>
      </w:r>
    </w:p>
    <w:p>
      <w:r>
        <w:br w:type="page"/>
      </w:r>
    </w:p>
    <w:p>
      <w:pPr>
        <w:pStyle w:val="Heading1"/>
        <w:spacing w:after="160" w:before="360"/>
      </w:pPr>
      <w:r>
        <w:rPr>
          <w:rFonts w:ascii="Calibri" w:cs="Calibri" w:eastAsia="Calibri" w:hAnsi="Calibri"/>
          <w:b/>
          <w:bCs/>
          <w:color w:val="1F3864"/>
          <w:sz w:val="30"/>
          <w:szCs w:val="30"/>
        </w:rPr>
        <w:t xml:space="preserve">Índice</w:t>
      </w:r>
    </w:p>
    <w:sdt>
      <w:sdtPr>
        <w:alias w:val="Contenido"/>
      </w:sdtPr>
      <w:sdtContent>
        <w:p>
          <w:r>
            <w:fldChar w:fldCharType="begin" w:dirty="true"/>
            <w:instrText xml:space="preserve">TOC \h \o "1-2"</w:instrText>
            <w:fldChar w:fldCharType="separate"/>
          </w:r>
        </w:p>
        <w:p>
          <w:r>
            <w:fldChar w:fldCharType="end"/>
          </w:r>
        </w:p>
      </w:sdtContent>
    </w:sdt>
    <w:p>
      <w:pPr>
        <w:spacing w:after="120" w:line="276"/>
      </w:pPr>
      <w:r>
        <w:rPr>
          <w:rFonts w:ascii="Calibri" w:cs="Calibri" w:eastAsia="Calibri" w:hAnsi="Calibri"/>
          <w:i/>
          <w:iCs/>
          <w:color w:val="44546A"/>
          <w:sz w:val="18"/>
          <w:szCs w:val="18"/>
        </w:rPr>
        <w:t xml:space="preserve">Para actualizarlo en Word: clic derecho sobre el índice → Actualizar campos.</w:t>
      </w:r>
    </w:p>
    <w:p>
      <w:r>
        <w:br w:type="page"/>
      </w:r>
    </w:p>
    <w:p>
      <w:pPr>
        <w:pStyle w:val="Heading1"/>
        <w:spacing w:after="160" w:before="360"/>
      </w:pPr>
      <w:r>
        <w:rPr>
          <w:rFonts w:ascii="Calibri" w:cs="Calibri" w:eastAsia="Calibri" w:hAnsi="Calibri"/>
          <w:b/>
          <w:bCs/>
          <w:color w:val="1F3864"/>
          <w:sz w:val="30"/>
          <w:szCs w:val="30"/>
        </w:rPr>
        <w:t xml:space="preserve">1. Para qué sirve este documento</w:t>
      </w:r>
    </w:p>
    <w:p>
      <w:pPr>
        <w:spacing w:after="120" w:line="276"/>
      </w:pPr>
      <w:r>
        <w:rPr>
          <w:rFonts w:ascii="Calibri" w:cs="Calibri" w:eastAsia="Calibri" w:hAnsi="Calibri"/>
          <w:color w:val="222222"/>
          <w:sz w:val="21"/>
          <w:szCs w:val="21"/>
        </w:rPr>
        <w:t xml:space="preserve">Un sistema de gestión de mantenimiento no vale por las pantallas que tiene, sino por las decisiones que impide tomar mal. Este documento cruza dos cosas:</w:t>
      </w:r>
    </w:p>
    <w:p>
      <w:pPr>
        <w:pStyle w:val="ListParagraph"/>
        <w:numPr>
          <w:ilvl w:val="0"/>
          <w:numId w:val="2"/>
        </w:numPr>
        <w:spacing w:after="80" w:line="276"/>
      </w:pPr>
      <w:r>
        <w:rPr>
          <w:rFonts w:ascii="Calibri" w:cs="Calibri" w:eastAsia="Calibri" w:hAnsi="Calibri"/>
          <w:sz w:val="21"/>
          <w:szCs w:val="21"/>
        </w:rPr>
        <w:t xml:space="preserve">Qué hace cada módulo del software y a qué proceso de planta responde.</w:t>
      </w:r>
    </w:p>
    <w:p>
      <w:pPr>
        <w:pStyle w:val="ListParagraph"/>
        <w:numPr>
          <w:ilvl w:val="0"/>
          <w:numId w:val="2"/>
        </w:numPr>
        <w:spacing w:after="80" w:line="276"/>
      </w:pPr>
      <w:r>
        <w:rPr>
          <w:rFonts w:ascii="Calibri" w:cs="Calibri" w:eastAsia="Calibri" w:hAnsi="Calibri"/>
          <w:sz w:val="21"/>
          <w:szCs w:val="21"/>
        </w:rPr>
        <w:t xml:space="preserve">Qué normas obligan al técnico en campo, y si el software las HACE CUMPLIR o simplemente las menciona.</w:t>
      </w:r>
    </w:p>
    <w:p>
      <w:pPr>
        <w:spacing w:after="200"/>
      </w:pPr>
    </w:p>
    <w:tbl>
      <w:tblPr>
        <w:tblW w:type="dxa" w:w="9360"/>
        <w:tblBorders>
          <w:top w:val="none" w:color="FFFFFF" w:sz="0"/>
          <w:left w:val="single" w:color="B45309" w:sz="18"/>
          <w:bottom w:val="none" w:color="FFFFFF" w:sz="0"/>
          <w:right w:val="none" w:color="FFFFFF" w:sz="0"/>
          <w:insideH w:val="none" w:color="FFFFFF" w:sz="0"/>
          <w:insideV w:val="none" w:color="FFFFFF" w:sz="0"/>
        </w:tblBorders>
      </w:tblPr>
      <w:tblGrid>
        <w:gridCol w:w="9360"/>
      </w:tblGrid>
      <w:tr>
        <w:tc>
          <w:tcPr>
            <w:tcW w:type="dxa" w:w="936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B45309"/>
                <w:sz w:val="21"/>
                <w:szCs w:val="21"/>
              </w:rPr>
              <w:t xml:space="preserve">La diferencia que atraviesa todo el documento</w:t>
            </w:r>
          </w:p>
          <w:p>
            <w:pPr>
              <w:spacing w:before="60" w:line="276"/>
            </w:pPr>
            <w:r>
              <w:rPr>
                <w:rFonts w:ascii="Calibri" w:cs="Calibri" w:eastAsia="Calibri" w:hAnsi="Calibri"/>
                <w:sz w:val="20"/>
                <w:szCs w:val="20"/>
              </w:rPr>
              <w:t xml:space="preserve">Una norma DOCUMENTADA es un PDF que alguien leyó una vez. Una norma APLICADA es un campo obligatorio, un aviso que salta, o un botón que no aparece hasta que se cumple la condición. El software de hoy documenta bastante y aplica poco; el objetivo de este análisis es señalar exactamente dónde está esa frontera.</w:t>
            </w:r>
          </w:p>
        </w:tc>
      </w:tr>
    </w:tbl>
    <w:p>
      <w:pPr>
        <w:spacing w:after="240"/>
      </w:pPr>
    </w:p>
    <w:p>
      <w:pPr>
        <w:pStyle w:val="Heading2"/>
        <w:spacing w:after="120" w:before="300"/>
      </w:pPr>
      <w:r>
        <w:rPr>
          <w:rFonts w:ascii="Calibri" w:cs="Calibri" w:eastAsia="Calibri" w:hAnsi="Calibri"/>
          <w:b/>
          <w:bCs/>
          <w:color w:val="1F3864"/>
          <w:sz w:val="24"/>
          <w:szCs w:val="24"/>
        </w:rPr>
        <w:t xml:space="preserve">El estado del sistema hoy</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600"/>
        <w:gridCol w:w="1300"/>
        <w:gridCol w:w="5460"/>
      </w:tblGrid>
      <w:tr>
        <w:trPr>
          <w:tblHeader/>
        </w:trPr>
        <w:tc>
          <w:tcPr>
            <w:tcW w:type="dxa" w:w="26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Concepto</w:t>
            </w:r>
          </w:p>
        </w:tc>
        <w:tc>
          <w:tcPr>
            <w:tcW w:type="dxa" w:w="13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Cantidad</w:t>
            </w:r>
          </w:p>
        </w:tc>
        <w:tc>
          <w:tcPr>
            <w:tcW w:type="dxa" w:w="546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Nota</w:t>
            </w:r>
          </w:p>
        </w:tc>
      </w:tr>
      <w:tr>
        <w:tc>
          <w:tcPr>
            <w:tcW w:type="dxa" w:w="26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Módulos de backend</w:t>
            </w:r>
          </w:p>
        </w:tc>
        <w:tc>
          <w:tcPr>
            <w:tcW w:type="dxa" w:w="13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42</w:t>
            </w:r>
          </w:p>
        </w:tc>
        <w:tc>
          <w:tcPr>
            <w:tcW w:type="dxa" w:w="54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Cinco sostienen el sistema</w:t>
            </w:r>
          </w:p>
        </w:tc>
      </w:tr>
      <w:tr>
        <w:tc>
          <w:tcPr>
            <w:tcW w:type="dxa" w:w="26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Pantallas</w:t>
            </w:r>
          </w:p>
        </w:tc>
        <w:tc>
          <w:tcPr>
            <w:tcW w:type="dxa" w:w="13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45</w:t>
            </w:r>
          </w:p>
        </w:tc>
        <w:tc>
          <w:tcPr>
            <w:tcW w:type="dxa" w:w="54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Cinco exclusivas de Producción</w:t>
            </w:r>
          </w:p>
        </w:tc>
      </w:tr>
      <w:tr>
        <w:tc>
          <w:tcPr>
            <w:tcW w:type="dxa" w:w="26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Permisos</w:t>
            </w:r>
          </w:p>
        </w:tc>
        <w:tc>
          <w:tcPr>
            <w:tcW w:type="dxa" w:w="13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42</w:t>
            </w:r>
          </w:p>
        </w:tc>
        <w:tc>
          <w:tcPr>
            <w:tcW w:type="dxa" w:w="54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 acceso nunca usa nombres de rol</w:t>
            </w:r>
          </w:p>
        </w:tc>
      </w:tr>
      <w:tr>
        <w:tc>
          <w:tcPr>
            <w:tcW w:type="dxa" w:w="26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Roles</w:t>
            </w:r>
          </w:p>
        </w:tc>
        <w:tc>
          <w:tcPr>
            <w:tcW w:type="dxa" w:w="13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8</w:t>
            </w:r>
          </w:p>
        </w:tc>
        <w:tc>
          <w:tcPr>
            <w:tcW w:type="dxa" w:w="54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Dos sectorizados por tren</w:t>
            </w:r>
          </w:p>
        </w:tc>
      </w:tr>
      <w:tr>
        <w:tc>
          <w:tcPr>
            <w:tcW w:type="dxa" w:w="26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Migraciones</w:t>
            </w:r>
          </w:p>
        </w:tc>
        <w:tc>
          <w:tcPr>
            <w:tcW w:type="dxa" w:w="13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38</w:t>
            </w:r>
          </w:p>
        </w:tc>
        <w:tc>
          <w:tcPr>
            <w:tcW w:type="dxa" w:w="54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Aplicadas en producción, ninguna borra datos</w:t>
            </w:r>
          </w:p>
        </w:tc>
      </w:tr>
      <w:tr>
        <w:tc>
          <w:tcPr>
            <w:tcW w:type="dxa" w:w="26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Pruebas automáticas</w:t>
            </w:r>
          </w:p>
        </w:tc>
        <w:tc>
          <w:tcPr>
            <w:tcW w:type="dxa" w:w="13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745</w:t>
            </w:r>
          </w:p>
        </w:tc>
        <w:tc>
          <w:tcPr>
            <w:tcW w:type="dxa" w:w="54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En 46 conjuntos</w:t>
            </w:r>
          </w:p>
        </w:tc>
      </w:tr>
      <w:tr>
        <w:tc>
          <w:tcPr>
            <w:tcW w:type="dxa" w:w="26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Verificadores propios</w:t>
            </w:r>
          </w:p>
        </w:tc>
        <w:tc>
          <w:tcPr>
            <w:tcW w:type="dxa" w:w="13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14</w:t>
            </w:r>
          </w:p>
        </w:tc>
        <w:tc>
          <w:tcPr>
            <w:tcW w:type="dxa" w:w="54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Cada uno nació de un fallo real</w:t>
            </w:r>
          </w:p>
        </w:tc>
      </w:tr>
    </w:tbl>
    <w:p>
      <w:r>
        <w:br w:type="page"/>
      </w:r>
    </w:p>
    <w:p>
      <w:pPr>
        <w:pStyle w:val="Heading1"/>
        <w:spacing w:after="160" w:before="360"/>
      </w:pPr>
      <w:r>
        <w:rPr>
          <w:rFonts w:ascii="Calibri" w:cs="Calibri" w:eastAsia="Calibri" w:hAnsi="Calibri"/>
          <w:b/>
          <w:bCs/>
          <w:color w:val="1F3864"/>
          <w:sz w:val="30"/>
          <w:szCs w:val="30"/>
        </w:rPr>
        <w:t xml:space="preserve">2. Los módulos, por el proceso que atacan</w:t>
      </w:r>
    </w:p>
    <w:p>
      <w:pPr>
        <w:pStyle w:val="Heading2"/>
        <w:spacing w:after="120" w:before="300"/>
      </w:pPr>
      <w:r>
        <w:rPr>
          <w:rFonts w:ascii="Calibri" w:cs="Calibri" w:eastAsia="Calibri" w:hAnsi="Calibri"/>
          <w:b/>
          <w:bCs/>
          <w:color w:val="1F3864"/>
          <w:sz w:val="24"/>
          <w:szCs w:val="24"/>
        </w:rPr>
        <w:t xml:space="preserve">2.1 El ciclo de una falla</w:t>
      </w:r>
    </w:p>
    <w:p>
      <w:pPr>
        <w:spacing w:after="120" w:line="276"/>
      </w:pPr>
      <w:r>
        <w:rPr>
          <w:rFonts w:ascii="Calibri" w:cs="Calibri" w:eastAsia="Calibri" w:hAnsi="Calibri"/>
          <w:i/>
          <w:iCs/>
          <w:color w:val="44546A"/>
          <w:sz w:val="21"/>
          <w:szCs w:val="21"/>
        </w:rPr>
        <w:t xml:space="preserve">El corazón. Si esto falla, el resto es decoración.</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400"/>
        <w:gridCol w:w="6960"/>
      </w:tblGrid>
      <w:tr>
        <w:trPr>
          <w:tblHeader/>
        </w:trPr>
        <w:tc>
          <w:tcPr>
            <w:tcW w:type="dxa" w:w="24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Módulo</w:t>
            </w:r>
          </w:p>
        </w:tc>
        <w:tc>
          <w:tcPr>
            <w:tcW w:type="dxa" w:w="696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Qué hace y por qué está</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Incidencias</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Registra que algo no funciona: equipo, síntoma, quién avisó y cuándo. Sin registro de la falla no hay MTBF: no se puede contar lo que no se anotó.</w:t>
            </w:r>
          </w:p>
        </w:tc>
      </w:tr>
      <w:tr>
        <w:tc>
          <w:tcPr>
            <w:tcW w:type="dxa" w:w="24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Órdenes de mantenimiento</w:t>
            </w:r>
          </w:p>
        </w:tc>
        <w:tc>
          <w:tcPr>
            <w:tcW w:type="dxa" w:w="69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Se abre, se asigna, se avanza con partes, se cierra firmada y sale su informe en PDF. El avance lleva MOTIVO DE CATÁLOGO: «quedó al 60 % porque faltó manlift» es contable; escrito a mano no lo era.</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Correctivo / Preventivo / Predictivo / Mejora</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Cuatro vistas del mismo modelo. Son cuatro conversaciones distintas: el correctivo con Producción, el preventivo con el calendario, el predictivo con la tendencia, la mejora con el presupuesto.</w:t>
            </w:r>
          </w:p>
        </w:tc>
      </w:tr>
      <w:tr>
        <w:tc>
          <w:tcPr>
            <w:tcW w:type="dxa" w:w="24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Procedimientos de restauración</w:t>
            </w:r>
          </w:p>
        </w:tc>
        <w:tc>
          <w:tcPr>
            <w:tcW w:type="dxa" w:w="69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Cómo se arregla cada MODELO de equipo, con sus advertencias. Cuelga del modelo y no del activo: con 300 cámaras habría 300 procedimientos vacíos. Aparece solo al escanear el QR.</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Catálogos editables</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Causas, síntomas, acciones y motivos. Convierten texto libre en algo contable. Sin catálogo, «¿por qué se caen las cámaras del horno?» son doscientas frases distintas.</w:t>
            </w:r>
          </w:p>
        </w:tc>
      </w:tr>
    </w:tbl>
    <w:p>
      <w:pPr>
        <w:spacing w:after="240"/>
      </w:pPr>
    </w:p>
    <w:p>
      <w:pPr>
        <w:pStyle w:val="Heading2"/>
        <w:spacing w:after="120" w:before="300"/>
      </w:pPr>
      <w:r>
        <w:rPr>
          <w:rFonts w:ascii="Calibri" w:cs="Calibri" w:eastAsia="Calibri" w:hAnsi="Calibri"/>
          <w:b/>
          <w:bCs/>
          <w:color w:val="1F3864"/>
          <w:sz w:val="24"/>
          <w:szCs w:val="24"/>
        </w:rPr>
        <w:t xml:space="preserve">2.2 Saber qué hay y dónde</w:t>
      </w:r>
    </w:p>
    <w:p>
      <w:pPr>
        <w:spacing w:after="120" w:line="276"/>
      </w:pPr>
      <w:r>
        <w:rPr>
          <w:rFonts w:ascii="Calibri" w:cs="Calibri" w:eastAsia="Calibri" w:hAnsi="Calibri"/>
          <w:i/>
          <w:iCs/>
          <w:color w:val="44546A"/>
          <w:sz w:val="21"/>
          <w:szCs w:val="21"/>
        </w:rPr>
        <w:t xml:space="preserve">La base de todo lo demás.</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400"/>
        <w:gridCol w:w="6960"/>
      </w:tblGrid>
      <w:tr>
        <w:trPr>
          <w:tblHeader/>
        </w:trPr>
        <w:tc>
          <w:tcPr>
            <w:tcW w:type="dxa" w:w="24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Módulo</w:t>
            </w:r>
          </w:p>
        </w:tc>
        <w:tc>
          <w:tcPr>
            <w:tcW w:type="dxa" w:w="696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Qué hace y por qué está</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Activos</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Inventario técnico con ficha por tipo, fotos, QR e historial. La ficha INCOMPLETA se permite y se marca: ante un formulario exigente el técnico inventa datos, y un dato inventado es peor que un hueco.</w:t>
            </w:r>
          </w:p>
        </w:tc>
      </w:tr>
      <w:tr>
        <w:tc>
          <w:tcPr>
            <w:tcW w:type="dxa" w:w="24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Ubicaciones — el módulo que sostiene todo</w:t>
            </w:r>
          </w:p>
        </w:tc>
        <w:tc>
          <w:tcPr>
            <w:tcW w:type="dxa" w:w="69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 árbol Empresa → Planta → Tren → Etapa → Zona → Rack. De él se DERIVAN tren, etapa, ambiente, criticidad, intervalo preventivo e intervenibilidad. Ninguna se guarda en el activo. Es el punto único de fallo: un árbol mal cargado no da error, da números equivocados.</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Gabinetes, Cableado, Conexiones, Grabadores</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En qué puerto está esa cámara, cuántos canales libres quedan, si el tramo pasa de 90 m. Preguntas que TI hacía y nadie sabía responder.</w:t>
            </w:r>
          </w:p>
        </w:tc>
      </w:tr>
      <w:tr>
        <w:tc>
          <w:tcPr>
            <w:tcW w:type="dxa" w:w="24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Campañas y Avance del mapeo</w:t>
            </w:r>
          </w:p>
        </w:tc>
        <w:tc>
          <w:tcPr>
            <w:tcW w:type="dxa" w:w="69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Reparto del levantamiento y control de calidad. El avance se mide sobre TODO lo que existe, incluido el stock.</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Electricidad e IPAM</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«¿Qué llave le corta la luz a esta cámara?» y «¿qué IP le pongo?». Las dos preguntas que más tiempo hacen perder en campo.</w:t>
            </w:r>
          </w:p>
        </w:tc>
      </w:tr>
      <w:tr>
        <w:tc>
          <w:tcPr>
            <w:tcW w:type="dxa" w:w="24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Estándar de rotulado</w:t>
            </w:r>
          </w:p>
        </w:tc>
        <w:tc>
          <w:tcPr>
            <w:tcW w:type="dxa" w:w="69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ANSI/TIA-606-C aplicado a la planta. Ver la Parte II: hoy avisa, no obliga.</w:t>
            </w:r>
          </w:p>
        </w:tc>
      </w:tr>
    </w:tbl>
    <w:p>
      <w:pPr>
        <w:spacing w:after="240"/>
      </w:pPr>
    </w:p>
    <w:p>
      <w:pPr>
        <w:pStyle w:val="Heading2"/>
        <w:spacing w:after="120" w:before="300"/>
      </w:pPr>
      <w:r>
        <w:rPr>
          <w:rFonts w:ascii="Calibri" w:cs="Calibri" w:eastAsia="Calibri" w:hAnsi="Calibri"/>
          <w:b/>
          <w:bCs/>
          <w:color w:val="1F3864"/>
          <w:sz w:val="24"/>
          <w:szCs w:val="24"/>
        </w:rPr>
        <w:t xml:space="preserve">2.3 Lo que Producción necesita</w:t>
      </w:r>
    </w:p>
    <w:p>
      <w:pPr>
        <w:spacing w:after="120" w:line="276"/>
      </w:pPr>
      <w:r>
        <w:rPr>
          <w:rFonts w:ascii="Calibri" w:cs="Calibri" w:eastAsia="Calibri" w:hAnsi="Calibri"/>
          <w:i/>
          <w:iCs/>
          <w:color w:val="44546A"/>
          <w:sz w:val="21"/>
          <w:szCs w:val="21"/>
        </w:rPr>
        <w:t xml:space="preserve">Producción observa; Mantenimiento ejecuta. Esa frontera permite compartir pantalla.</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400"/>
        <w:gridCol w:w="6960"/>
      </w:tblGrid>
      <w:tr>
        <w:trPr>
          <w:tblHeader/>
        </w:trPr>
        <w:tc>
          <w:tcPr>
            <w:tcW w:type="dxa" w:w="24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Módulo</w:t>
            </w:r>
          </w:p>
        </w:tc>
        <w:tc>
          <w:tcPr>
            <w:tcW w:type="dxa" w:w="696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Qué hace y por qué está</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Zonas vitales</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 ÚNICO sitio donde Producción escribe: qué se pierde si una zona se queda a ciegas. Se declara una vez por zona y sube la prioridad de todas sus cámaras. Sólo sube, nunca baja.</w:t>
            </w:r>
          </w:p>
        </w:tc>
      </w:tr>
      <w:tr>
        <w:tc>
          <w:tcPr>
            <w:tcW w:type="dxa" w:w="24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Mis cámaras</w:t>
            </w:r>
          </w:p>
        </w:tc>
        <w:tc>
          <w:tcPr>
            <w:tcW w:type="dxa" w:w="69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Por cada cámara caída: la foto de A QUÉ APUNTA, la línea de tiempo con horas, el avance con la última nota, el material que falta con su código SAP, y hasta dónde se puede llegar hoy. Un solo verbo: GET.</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Mis activos</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Qué hay en el tren por gabinete, tablero y campo, con la altura y el medio de acceso. Arriba, las subidas de manlift AGRUPADAS POR PUNTO: tres equipos en el mismo poste son una movilización, no tres.</w:t>
            </w:r>
          </w:p>
        </w:tc>
      </w:tr>
      <w:tr>
        <w:tc>
          <w:tcPr>
            <w:tcW w:type="dxa" w:w="24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Mi cobertura</w:t>
            </w:r>
          </w:p>
        </w:tc>
        <w:tc>
          <w:tcPr>
            <w:tcW w:type="dxa" w:w="69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Qué zonas están sin vista, ordenadas por lo que se pierde. Diez cámaras en el patio importan menos que una en la colada.</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Estado por Tren</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Tablero de infraestructura para el ingeniero y TI. NO es para Producción, y desde el bloque 42 ya no le aparece.</w:t>
            </w:r>
          </w:p>
        </w:tc>
      </w:tr>
    </w:tbl>
    <w:p>
      <w:pPr>
        <w:spacing w:after="240"/>
      </w:pPr>
    </w:p>
    <w:p>
      <w:pPr>
        <w:pStyle w:val="Heading2"/>
        <w:spacing w:after="120" w:before="300"/>
      </w:pPr>
      <w:r>
        <w:rPr>
          <w:rFonts w:ascii="Calibri" w:cs="Calibri" w:eastAsia="Calibri" w:hAnsi="Calibri"/>
          <w:b/>
          <w:bCs/>
          <w:color w:val="1F3864"/>
          <w:sz w:val="24"/>
          <w:szCs w:val="24"/>
        </w:rPr>
        <w:t xml:space="preserve">2.4 Materiales, planificación y seguridad</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400"/>
        <w:gridCol w:w="6960"/>
      </w:tblGrid>
      <w:tr>
        <w:trPr>
          <w:tblHeader/>
        </w:trPr>
        <w:tc>
          <w:tcPr>
            <w:tcW w:type="dxa" w:w="24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Módulo</w:t>
            </w:r>
          </w:p>
        </w:tc>
        <w:tc>
          <w:tcPr>
            <w:tcW w:type="dxa" w:w="696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Qué hace y por qué está</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Inventario</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Repuestos, stock, retiro desde la orden, conteos e importación del Excel de SAP. Las salidas son atómicas: con dos técnicos retirando a la vez, el saldo cuadra.</w:t>
            </w:r>
          </w:p>
        </w:tc>
      </w:tr>
      <w:tr>
        <w:tc>
          <w:tcPr>
            <w:tcW w:type="dxa" w:w="24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Accesibilidad y trabajo en altura</w:t>
            </w:r>
          </w:p>
        </w:tc>
        <w:tc>
          <w:tcPr>
            <w:tcW w:type="dxa" w:w="69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Solicitud de manlift, grúa o andamio, con altura, justificación y fotos. La aprueba sólo el Jefe. Es requisito de SSOMA, no comodidad. Ver Parte II.</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Ventanas de parada</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Buena parte del trabajo de CCTV en laminación sólo se hace con el tren parado. Separa lo que NO necesita parada de lo que sí.</w:t>
            </w:r>
          </w:p>
        </w:tc>
      </w:tr>
      <w:tr>
        <w:tc>
          <w:tcPr>
            <w:tcW w:type="dxa" w:w="24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Cámaras de grúa</w:t>
            </w:r>
          </w:p>
        </w:tc>
        <w:tc>
          <w:tcPr>
            <w:tcW w:type="dxa" w:w="69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Ahí no se llega sin manlift y a veces sin parar la grúa. Convierte una intervención cara en una lista cerrada: se sube UNA vez y se revisa TODO.</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Instalaciones</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Pedir e instalar equipo nuevo con los requisitos del tipo de sitio, comprobados ANTES y no el día del montaje con la cuadrilla arriba.</w:t>
            </w:r>
          </w:p>
        </w:tc>
      </w:tr>
    </w:tbl>
    <w:p>
      <w:pPr>
        <w:spacing w:after="240"/>
      </w:pPr>
    </w:p>
    <w:p>
      <w:pPr>
        <w:pStyle w:val="Heading2"/>
        <w:spacing w:after="120" w:before="300"/>
      </w:pPr>
      <w:r>
        <w:rPr>
          <w:rFonts w:ascii="Calibri" w:cs="Calibri" w:eastAsia="Calibri" w:hAnsi="Calibri"/>
          <w:b/>
          <w:bCs/>
          <w:color w:val="1F3864"/>
          <w:sz w:val="24"/>
          <w:szCs w:val="24"/>
        </w:rPr>
        <w:t xml:space="preserve">2.5 Control, acceso y trazabilidad</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400"/>
        <w:gridCol w:w="6960"/>
      </w:tblGrid>
      <w:tr>
        <w:trPr>
          <w:tblHeader/>
        </w:trPr>
        <w:tc>
          <w:tcPr>
            <w:tcW w:type="dxa" w:w="24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Módulo</w:t>
            </w:r>
          </w:p>
        </w:tc>
        <w:tc>
          <w:tcPr>
            <w:tcW w:type="dxa" w:w="696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Qué hace y por qué está</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Roles y permisos</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 ingeniero crea roles y reparte permisos. El acceso se expresa SIEMPRE con permisos, nunca con nombres de rol: renombrar un rol no puede romper nada.</w:t>
            </w:r>
          </w:p>
        </w:tc>
      </w:tr>
      <w:tr>
        <w:tc>
          <w:tcPr>
            <w:tcW w:type="dxa" w:w="24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Ámbito por tren</w:t>
            </w:r>
          </w:p>
        </w:tc>
        <w:tc>
          <w:tcPr>
            <w:tcW w:type="dxa" w:w="69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Un rol sectorizado sólo ve su tren; sin tren asignado no ve nada y la pantalla lo explica. En Aceros Arequipa ver otra línea no es ruido: es información que sale del área.</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Auditoría</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Quién hizo qué, cuándo, desde qué IP y desde qué equipo. Es lo único que no se borra nunca, ni con el vaciado definitivo.</w:t>
            </w:r>
          </w:p>
        </w:tc>
      </w:tr>
      <w:tr>
        <w:tc>
          <w:tcPr>
            <w:tcW w:type="dxa" w:w="24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Limpieza y purga</w:t>
            </w:r>
          </w:p>
        </w:tc>
        <w:tc>
          <w:tcPr>
            <w:tcW w:type="dxa" w:w="69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Doble llave y frase de confirmación. «Dejar la base vacía» antes del despliegue real.</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Equipos conocidos</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Una IP en la auditoría no dice nada; «el PC del púlpito del Tren 2», sí.</w:t>
            </w:r>
          </w:p>
        </w:tc>
      </w:tr>
    </w:tbl>
    <w:p>
      <w:pPr>
        <w:spacing w:after="240"/>
      </w:pPr>
    </w:p>
    <w:p>
      <w:pPr>
        <w:pStyle w:val="Heading2"/>
        <w:spacing w:after="120" w:before="300"/>
      </w:pPr>
      <w:r>
        <w:rPr>
          <w:rFonts w:ascii="Calibri" w:cs="Calibri" w:eastAsia="Calibri" w:hAnsi="Calibri"/>
          <w:b/>
          <w:bCs/>
          <w:color w:val="1F3864"/>
          <w:sz w:val="24"/>
          <w:szCs w:val="24"/>
        </w:rPr>
        <w:t xml:space="preserve">2.6 Montado y todavía apagado</w:t>
      </w:r>
    </w:p>
    <w:p>
      <w:pPr>
        <w:spacing w:after="120" w:line="276"/>
      </w:pPr>
      <w:r>
        <w:rPr>
          <w:rFonts w:ascii="Calibri" w:cs="Calibri" w:eastAsia="Calibri" w:hAnsi="Calibri"/>
          <w:i/>
          <w:iCs/>
          <w:color w:val="44546A"/>
          <w:sz w:val="21"/>
          <w:szCs w:val="21"/>
        </w:rPr>
        <w:t xml:space="preserve">La deuda más honesta: módulos completos sin conectar.</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400"/>
        <w:gridCol w:w="6960"/>
      </w:tblGrid>
      <w:tr>
        <w:trPr>
          <w:tblHeader/>
        </w:trPr>
        <w:tc>
          <w:tcPr>
            <w:tcW w:type="dxa" w:w="24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Módulo</w:t>
            </w:r>
          </w:p>
        </w:tc>
        <w:tc>
          <w:tcPr>
            <w:tcW w:type="dxa" w:w="696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Qué hace y por qué está</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Monitoreo</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Esperando el agente de TI. Sin él NO SE CONOCE la hora de caída de ninguna cámara. Es lo que más valor añadiría hoy.</w:t>
            </w:r>
          </w:p>
        </w:tc>
      </w:tr>
      <w:tr>
        <w:tc>
          <w:tcPr>
            <w:tcW w:type="dxa" w:w="24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Notificaciones</w:t>
            </w:r>
          </w:p>
        </w:tc>
        <w:tc>
          <w:tcPr>
            <w:tcW w:type="dxa" w:w="69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Esperando el token de Telegram. Ningún aviso sale de la aplicación.</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Integración</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Andamiaje para SAP, HikCentral, Zabbix y Active Directory. Nada conectado.</w:t>
            </w:r>
          </w:p>
        </w:tc>
      </w:tr>
    </w:tbl>
    <w:p>
      <w:pPr>
        <w:spacing w:after="240"/>
      </w:pPr>
    </w:p>
    <w:p>
      <w:pPr>
        <w:pStyle w:val="Heading2"/>
        <w:spacing w:after="120" w:before="300"/>
      </w:pPr>
      <w:r>
        <w:rPr>
          <w:rFonts w:ascii="Calibri" w:cs="Calibri" w:eastAsia="Calibri" w:hAnsi="Calibri"/>
          <w:b/>
          <w:bCs/>
          <w:color w:val="1F3864"/>
          <w:sz w:val="24"/>
          <w:szCs w:val="24"/>
        </w:rPr>
        <w:t xml:space="preserve">2.7 Análisis y salida</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400"/>
        <w:gridCol w:w="6960"/>
      </w:tblGrid>
      <w:tr>
        <w:trPr>
          <w:tblHeader/>
        </w:trPr>
        <w:tc>
          <w:tcPr>
            <w:tcW w:type="dxa" w:w="24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Módulo</w:t>
            </w:r>
          </w:p>
        </w:tc>
        <w:tc>
          <w:tcPr>
            <w:tcW w:type="dxa" w:w="696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Qué hace y por qué está</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Indicadores</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MTTR, MTBF, disponibilidad, backlog. Aplica «sin datos, nunca cero»: el MTBF necesita dos fallas; con una devuelve «sin datos».</w:t>
            </w:r>
          </w:p>
        </w:tc>
      </w:tr>
      <w:tr>
        <w:tc>
          <w:tcPr>
            <w:tcW w:type="dxa" w:w="24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Riesgo</w:t>
            </w:r>
          </w:p>
        </w:tc>
        <w:tc>
          <w:tcPr>
            <w:tcW w:type="dxa" w:w="69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Qué se va a romper y NO vamos a poder arreglar: repuesto que sostiene una zona vital sin stock, y modelo sin recambio en el mercado.</w:t>
            </w:r>
          </w:p>
        </w:tc>
      </w:tr>
      <w:tr>
        <w:tc>
          <w:tcPr>
            <w:tcW w:type="dxa" w:w="24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Exportación y Documentos</w:t>
            </w:r>
          </w:p>
        </w:tc>
        <w:tc>
          <w:tcPr>
            <w:tcW w:type="dxa" w:w="69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Excel de cualquier tema, y planos, manuales y respaldos de configuración.</w:t>
            </w:r>
          </w:p>
        </w:tc>
      </w:tr>
    </w:tbl>
    <w:p>
      <w:pPr>
        <w:spacing w:after="240"/>
      </w:pPr>
    </w:p>
    <w:p>
      <w:r>
        <w:br w:type="page"/>
      </w:r>
    </w:p>
    <w:p>
      <w:pPr>
        <w:pStyle w:val="Heading1"/>
        <w:spacing w:after="160" w:before="360"/>
      </w:pPr>
      <w:r>
        <w:rPr>
          <w:rFonts w:ascii="Calibri" w:cs="Calibri" w:eastAsia="Calibri" w:hAnsi="Calibri"/>
          <w:b/>
          <w:bCs/>
          <w:color w:val="1F3864"/>
          <w:sz w:val="30"/>
          <w:szCs w:val="30"/>
        </w:rPr>
        <w:t xml:space="preserve">3. Normas que obligan al técnico en campo</w:t>
      </w:r>
    </w:p>
    <w:p>
      <w:pPr>
        <w:spacing w:after="120" w:line="276"/>
      </w:pPr>
      <w:r>
        <w:rPr>
          <w:rFonts w:ascii="Calibri" w:cs="Calibri" w:eastAsia="Calibri" w:hAnsi="Calibri"/>
          <w:color w:val="222222"/>
          <w:sz w:val="21"/>
          <w:szCs w:val="21"/>
        </w:rPr>
        <w:t xml:space="preserve">Lo que sigue no son recomendaciones de estilo: son obligaciones legales o normas técnicas que ya rigen en una planta industrial peruana. Para cada una se indica qué exige, cómo puede aplicarla el software y en qué estado está hoy.</w:t>
      </w:r>
    </w:p>
    <w:p>
      <w:pPr>
        <w:spacing w:after="200"/>
      </w:pPr>
    </w:p>
    <w:p>
      <w:pPr>
        <w:pStyle w:val="Heading2"/>
        <w:spacing w:after="120" w:before="300"/>
      </w:pPr>
      <w:r>
        <w:rPr>
          <w:rFonts w:ascii="Calibri" w:cs="Calibri" w:eastAsia="Calibri" w:hAnsi="Calibri"/>
          <w:b/>
          <w:bCs/>
          <w:color w:val="1F3864"/>
          <w:sz w:val="24"/>
          <w:szCs w:val="24"/>
        </w:rPr>
        <w:t xml:space="preserve">3.1 Trabajo en altura — Ley 29783 y norma G.050 (OBLIGATORIO en Perú)</w:t>
      </w:r>
    </w:p>
    <w:p>
      <w:pPr>
        <w:spacing w:after="120" w:line="276"/>
      </w:pPr>
      <w:r>
        <w:rPr>
          <w:rFonts w:ascii="Calibri" w:cs="Calibri" w:eastAsia="Calibri" w:hAnsi="Calibri"/>
          <w:b/>
          <w:bCs/>
          <w:color w:val="222222"/>
          <w:sz w:val="21"/>
          <w:szCs w:val="21"/>
        </w:rPr>
        <w:t xml:space="preserve">El umbral es 1,80 m. </w:t>
      </w:r>
      <w:r>
        <w:rPr>
          <w:rFonts w:ascii="Calibri" w:cs="Calibri" w:eastAsia="Calibri" w:hAnsi="Calibri"/>
          <w:color w:val="222222"/>
          <w:sz w:val="21"/>
          <w:szCs w:val="21"/>
        </w:rPr>
        <w:t xml:space="preserve">Según la norma G.050 y la Ley 29783 de Seguridad y Salud en el Trabajo, se considera trabajo en altura toda actividad realizada a 1,80 metros o más sobre el nivel del piso o superficie de referencia. Incluye techos, andamios, plataformas elevadas, escaleras fijas y trabajo sobre estructuras.</w:t>
      </w:r>
    </w:p>
    <w:p>
      <w:pPr>
        <w:spacing w:after="120"/>
      </w:pP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100"/>
        <w:gridCol w:w="7260"/>
      </w:tblGrid>
      <w:tr>
        <w:tc>
          <w:tcPr>
            <w:tcW w:type="dxa" w:w="210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1F3864"/>
                <w:sz w:val="19"/>
                <w:szCs w:val="19"/>
              </w:rPr>
              <w:t xml:space="preserve">Qué exige</w:t>
            </w:r>
          </w:p>
        </w:tc>
        <w:tc>
          <w:tcPr>
            <w:tcW w:type="dxa" w:w="7260"/>
            <w:tcMar>
              <w:top w:type="dxa" w:w="90"/>
              <w:left w:type="dxa" w:w="130"/>
              <w:bottom w:type="dxa" w:w="90"/>
              <w:right w:type="dxa" w:w="130"/>
            </w:tcMar>
            <w:vAlign w:val="top"/>
          </w:tcPr>
          <w:p>
            <w:pPr>
              <w:spacing w:after="0" w:line="264"/>
            </w:pPr>
            <w:r>
              <w:rPr>
                <w:rFonts w:ascii="Calibri" w:cs="Calibri" w:eastAsia="Calibri" w:hAnsi="Calibri"/>
                <w:color w:val="222222"/>
                <w:sz w:val="20"/>
                <w:szCs w:val="20"/>
              </w:rPr>
              <w:t xml:space="preserve">IPERC — matriz de identificación de peligros y evaluación de riesgos. El supervisor debe verificarla antes del trabajo.</w:t>
            </w:r>
          </w:p>
          <w:p>
            <w:pPr>
              <w:spacing w:after="0" w:line="264"/>
            </w:pPr>
            <w:r>
              <w:rPr>
                <w:rFonts w:ascii="Calibri" w:cs="Calibri" w:eastAsia="Calibri" w:hAnsi="Calibri"/>
                <w:color w:val="222222"/>
                <w:sz w:val="20"/>
                <w:szCs w:val="20"/>
              </w:rPr>
              <w:t xml:space="preserve">PETAR — permiso escrito para trabajo de alto riesgo. Es la verificación final en campo de que las condiciones declaradas se cumplen, antes de empezar.</w:t>
            </w:r>
          </w:p>
          <w:p>
            <w:pPr>
              <w:spacing w:after="0" w:line="264"/>
            </w:pPr>
            <w:r>
              <w:rPr>
                <w:rFonts w:ascii="Calibri" w:cs="Calibri" w:eastAsia="Calibri" w:hAnsi="Calibri"/>
                <w:color w:val="222222"/>
                <w:sz w:val="20"/>
                <w:szCs w:val="20"/>
              </w:rPr>
              <w:t xml:space="preserve">ATS — análisis de trabajo seguro, diario, para quien firma permisos de altura.</w:t>
            </w:r>
          </w:p>
          <w:p>
            <w:pPr>
              <w:spacing w:after="0" w:line="264"/>
            </w:pPr>
            <w:r>
              <w:rPr>
                <w:rFonts w:ascii="Calibri" w:cs="Calibri" w:eastAsia="Calibri" w:hAnsi="Calibri"/>
                <w:color w:val="222222"/>
                <w:sz w:val="20"/>
                <w:szCs w:val="20"/>
              </w:rPr>
              <w:t xml:space="preserve">Personal acreditado y EPP específico (arnés, línea de vida, casco con barbiquejo).</w:t>
            </w:r>
          </w:p>
        </w:tc>
      </w:tr>
      <w:tr>
        <w:tc>
          <w:tcPr>
            <w:tcW w:type="dxa" w:w="210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1F3864"/>
                <w:sz w:val="19"/>
                <w:szCs w:val="19"/>
              </w:rPr>
              <w:t xml:space="preserve">Cómo se aplica</w:t>
            </w:r>
          </w:p>
        </w:tc>
        <w:tc>
          <w:tcPr>
            <w:tcW w:type="dxa" w:w="7260"/>
            <w:tcMar>
              <w:top w:type="dxa" w:w="90"/>
              <w:left w:type="dxa" w:w="130"/>
              <w:bottom w:type="dxa" w:w="90"/>
              <w:right w:type="dxa" w:w="130"/>
            </w:tcMar>
            <w:vAlign w:val="top"/>
          </w:tcPr>
          <w:p>
            <w:pPr>
              <w:spacing w:after="0" w:line="264"/>
            </w:pPr>
            <w:r>
              <w:rPr>
                <w:rFonts w:ascii="Calibri" w:cs="Calibri" w:eastAsia="Calibri" w:hAnsi="Calibri"/>
                <w:color w:val="222222"/>
                <w:sz w:val="20"/>
                <w:szCs w:val="20"/>
              </w:rPr>
              <w:t xml:space="preserve">El sistema ya conoce la ALTURA de cada equipo (bloque 41) y el medio de acceso: manlift, grúa, andamio, escalera o a pie.</w:t>
            </w:r>
          </w:p>
          <w:p>
            <w:pPr>
              <w:spacing w:after="0" w:line="264"/>
            </w:pPr>
            <w:r>
              <w:rPr>
                <w:rFonts w:ascii="Calibri" w:cs="Calibri" w:eastAsia="Calibri" w:hAnsi="Calibri"/>
                <w:color w:val="222222"/>
                <w:sz w:val="20"/>
                <w:szCs w:val="20"/>
              </w:rPr>
              <w:t xml:space="preserve">Sabe que desde 1,80 m es trabajo en altura y marca la contradicción cuando alguien declara «se llega a pie» por encima de ese umbral.</w:t>
            </w:r>
          </w:p>
          <w:p>
            <w:pPr>
              <w:spacing w:after="0" w:line="264"/>
            </w:pPr>
            <w:r>
              <w:rPr>
                <w:rFonts w:ascii="Calibri" w:cs="Calibri" w:eastAsia="Calibri" w:hAnsi="Calibri"/>
                <w:color w:val="222222"/>
                <w:sz w:val="20"/>
                <w:szCs w:val="20"/>
              </w:rPr>
              <w:t xml:space="preserve">El módulo de Accesibilidad guarda la solicitud con altura, justificación, ruta y fotos, y sólo el Jefe la aprueba.</w:t>
            </w:r>
          </w:p>
          <w:p>
            <w:pPr>
              <w:spacing w:after="0" w:line="264"/>
            </w:pPr>
            <w:r>
              <w:rPr>
                <w:rFonts w:ascii="Calibri" w:cs="Calibri" w:eastAsia="Calibri" w:hAnsi="Calibri"/>
                <w:color w:val="222222"/>
                <w:sz w:val="20"/>
                <w:szCs w:val="20"/>
              </w:rPr>
              <w:t xml:space="preserve">La intervenibilidad clasifica la zona como CON_PERMISO_ALTURA y, sin firma, exige parada: falla hacia el lado seguro.</w:t>
            </w:r>
          </w:p>
        </w:tc>
      </w:tr>
      <w:tr>
        <w:tc>
          <w:tcPr>
            <w:tcW w:type="dxa" w:w="210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B22222"/>
                <w:sz w:val="19"/>
                <w:szCs w:val="19"/>
              </w:rPr>
              <w:t xml:space="preserve">Estado hoy</w:t>
            </w:r>
          </w:p>
        </w:tc>
        <w:tc>
          <w:tcPr>
            <w:tcW w:type="dxa" w:w="7260"/>
            <w:tcMar>
              <w:top w:type="dxa" w:w="90"/>
              <w:left w:type="dxa" w:w="130"/>
              <w:bottom w:type="dxa" w:w="90"/>
              <w:right w:type="dxa" w:w="130"/>
            </w:tcMar>
            <w:vAlign w:val="top"/>
          </w:tcPr>
          <w:p>
            <w:pPr>
              <w:spacing w:after="0" w:line="264"/>
            </w:pPr>
            <w:r>
              <w:rPr>
                <w:rFonts w:ascii="Calibri" w:cs="Calibri" w:eastAsia="Calibri" w:hAnsi="Calibri"/>
                <w:color w:val="222222"/>
                <w:sz w:val="20"/>
                <w:szCs w:val="20"/>
              </w:rPr>
              <w:t xml:space="preserve">PARCIAL. El sistema SABE que hace falta permiso de altura, pero NO EXIGE el número de PETAR ni la vigencia del IPERC para poder cerrar la orden.</w:t>
            </w:r>
          </w:p>
          <w:p>
            <w:pPr>
              <w:spacing w:after="0" w:line="264"/>
            </w:pPr>
            <w:r>
              <w:rPr>
                <w:rFonts w:ascii="Calibri" w:cs="Calibri" w:eastAsia="Calibri" w:hAnsi="Calibri"/>
                <w:color w:val="222222"/>
                <w:sz w:val="20"/>
                <w:szCs w:val="20"/>
              </w:rPr>
              <w:t xml:space="preserve">PROPUESTA: campo obligatorio de N.º de PETAR y fecha en toda orden sobre un equipo con altura ≥ 1,80 m, y bloqueo del cierre sin él. Convierte una norma documentada en una norma aplicada.</w:t>
            </w:r>
          </w:p>
        </w:tc>
      </w:tr>
    </w:tbl>
    <w:p>
      <w:pPr>
        <w:spacing w:after="240"/>
      </w:pPr>
    </w:p>
    <w:p>
      <w:pPr>
        <w:pStyle w:val="Heading2"/>
        <w:spacing w:after="120" w:before="300"/>
      </w:pPr>
      <w:r>
        <w:rPr>
          <w:rFonts w:ascii="Calibri" w:cs="Calibri" w:eastAsia="Calibri" w:hAnsi="Calibri"/>
          <w:b/>
          <w:bCs/>
          <w:color w:val="1F3864"/>
          <w:sz w:val="24"/>
          <w:szCs w:val="24"/>
        </w:rPr>
        <w:t xml:space="preserve">3.2 Rotulado — ANSI/TIA-606-C</w:t>
      </w:r>
    </w:p>
    <w:p>
      <w:pPr>
        <w:spacing w:after="120" w:line="276"/>
      </w:pPr>
      <w:r>
        <w:rPr>
          <w:rFonts w:ascii="Calibri" w:cs="Calibri" w:eastAsia="Calibri" w:hAnsi="Calibri"/>
          <w:color w:val="222222"/>
          <w:sz w:val="21"/>
          <w:szCs w:val="21"/>
        </w:rPr>
        <w:t xml:space="preserve">Es el estándar de administración de infraestructura de telecomunicaciones publicado por ANSI y la TIA. Da un esquema unificado para identificar cableado y espacios en edificios comerciales, centros de datos y campus.</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100"/>
        <w:gridCol w:w="7260"/>
      </w:tblGrid>
      <w:tr>
        <w:tc>
          <w:tcPr>
            <w:tcW w:type="dxa" w:w="210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1F3864"/>
                <w:sz w:val="19"/>
                <w:szCs w:val="19"/>
              </w:rPr>
              <w:t xml:space="preserve">Qué exige</w:t>
            </w:r>
          </w:p>
        </w:tc>
        <w:tc>
          <w:tcPr>
            <w:tcW w:type="dxa" w:w="7260"/>
            <w:tcMar>
              <w:top w:type="dxa" w:w="90"/>
              <w:left w:type="dxa" w:w="130"/>
              <w:bottom w:type="dxa" w:w="90"/>
              <w:right w:type="dxa" w:w="130"/>
            </w:tcMar>
            <w:vAlign w:val="top"/>
          </w:tcPr>
          <w:p>
            <w:pPr>
              <w:spacing w:after="0" w:line="264"/>
            </w:pPr>
            <w:r>
              <w:rPr>
                <w:rFonts w:ascii="Calibri" w:cs="Calibri" w:eastAsia="Calibri" w:hAnsi="Calibri"/>
                <w:color w:val="222222"/>
                <w:sz w:val="20"/>
                <w:szCs w:val="20"/>
              </w:rPr>
              <w:t xml:space="preserve">Identificador único y permanente en cada elemento: cable, panel, puerto, gabinete y espacio.</w:t>
            </w:r>
          </w:p>
          <w:p>
            <w:pPr>
              <w:spacing w:after="0" w:line="264"/>
            </w:pPr>
            <w:r>
              <w:rPr>
                <w:rFonts w:ascii="Calibri" w:cs="Calibri" w:eastAsia="Calibri" w:hAnsi="Calibri"/>
                <w:color w:val="222222"/>
                <w:sz w:val="20"/>
                <w:szCs w:val="20"/>
              </w:rPr>
              <w:t xml:space="preserve">Registros que vinculen cada identificador con su ubicación y sus extremos.</w:t>
            </w:r>
          </w:p>
          <w:p>
            <w:pPr>
              <w:spacing w:after="0" w:line="264"/>
            </w:pPr>
            <w:r>
              <w:rPr>
                <w:rFonts w:ascii="Calibri" w:cs="Calibri" w:eastAsia="Calibri" w:hAnsi="Calibri"/>
                <w:color w:val="222222"/>
                <w:sz w:val="20"/>
                <w:szCs w:val="20"/>
              </w:rPr>
              <w:t xml:space="preserve">Etiquetas legibles y duraderas para el ambiente donde viven.</w:t>
            </w:r>
          </w:p>
          <w:p>
            <w:pPr>
              <w:spacing w:after="0" w:line="264"/>
            </w:pPr>
            <w:r>
              <w:rPr>
                <w:rFonts w:ascii="Calibri" w:cs="Calibri" w:eastAsia="Calibri" w:hAnsi="Calibri"/>
                <w:color w:val="222222"/>
                <w:sz w:val="20"/>
                <w:szCs w:val="20"/>
              </w:rPr>
              <w:t xml:space="preserve">El código de colores NO es obligatorio en la norma, pero se RECOMIENDA con fuerza como ayuda visual para distinguir tipos de conexión de un vistazo.</w:t>
            </w:r>
          </w:p>
        </w:tc>
      </w:tr>
      <w:tr>
        <w:tc>
          <w:tcPr>
            <w:tcW w:type="dxa" w:w="210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1F3864"/>
                <w:sz w:val="19"/>
                <w:szCs w:val="19"/>
              </w:rPr>
              <w:t xml:space="preserve">Cómo se aplica</w:t>
            </w:r>
          </w:p>
        </w:tc>
        <w:tc>
          <w:tcPr>
            <w:tcW w:type="dxa" w:w="7260"/>
            <w:tcMar>
              <w:top w:type="dxa" w:w="90"/>
              <w:left w:type="dxa" w:w="130"/>
              <w:bottom w:type="dxa" w:w="90"/>
              <w:right w:type="dxa" w:w="130"/>
            </w:tcMar>
            <w:vAlign w:val="top"/>
          </w:tcPr>
          <w:p>
            <w:pPr>
              <w:spacing w:after="0" w:line="264"/>
            </w:pPr>
            <w:r>
              <w:rPr>
                <w:rFonts w:ascii="Calibri" w:cs="Calibri" w:eastAsia="Calibri" w:hAnsi="Calibri"/>
                <w:color w:val="222222"/>
                <w:sz w:val="20"/>
                <w:szCs w:val="20"/>
              </w:rPr>
              <w:t xml:space="preserve">El software genera y valida el rótulo con el formato AA-TIPO-TREN-ZONA-NNN, y compara lo escrito en la etiqueta contra el árbol de planta: si dice T1 y el equipo cuelga del Tren 2, lo señala.</w:t>
            </w:r>
          </w:p>
          <w:p>
            <w:pPr>
              <w:spacing w:after="0" w:line="264"/>
            </w:pPr>
            <w:r>
              <w:rPr>
                <w:rFonts w:ascii="Calibri" w:cs="Calibri" w:eastAsia="Calibri" w:hAnsi="Calibri"/>
                <w:color w:val="222222"/>
                <w:sz w:val="20"/>
                <w:szCs w:val="20"/>
              </w:rPr>
              <w:t xml:space="preserve">La sigla del tren es un dato editable desde el bloque 43, no el resultado de cortar un texto.</w:t>
            </w:r>
          </w:p>
        </w:tc>
      </w:tr>
      <w:tr>
        <w:tc>
          <w:tcPr>
            <w:tcW w:type="dxa" w:w="210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B22222"/>
                <w:sz w:val="19"/>
                <w:szCs w:val="19"/>
              </w:rPr>
              <w:t xml:space="preserve">Estado hoy</w:t>
            </w:r>
          </w:p>
        </w:tc>
        <w:tc>
          <w:tcPr>
            <w:tcW w:type="dxa" w:w="7260"/>
            <w:tcMar>
              <w:top w:type="dxa" w:w="90"/>
              <w:left w:type="dxa" w:w="130"/>
              <w:bottom w:type="dxa" w:w="90"/>
              <w:right w:type="dxa" w:w="130"/>
            </w:tcMar>
            <w:vAlign w:val="top"/>
          </w:tcPr>
          <w:p>
            <w:pPr>
              <w:spacing w:after="0" w:line="264"/>
            </w:pPr>
            <w:r>
              <w:rPr>
                <w:rFonts w:ascii="Calibri" w:cs="Calibri" w:eastAsia="Calibri" w:hAnsi="Calibri"/>
                <w:color w:val="222222"/>
                <w:sz w:val="20"/>
                <w:szCs w:val="20"/>
              </w:rPr>
              <w:t xml:space="preserve">PARCIAL, y con una limitación grande: EL FORMATO ESTÁ ESCRITO EN EL CÓDIGO. El prefijo «AA» y la estructura de segmentos no se pueden cambiar desde la interfaz.</w:t>
            </w:r>
          </w:p>
          <w:p>
            <w:pPr>
              <w:spacing w:after="0" w:line="264"/>
            </w:pPr>
            <w:r>
              <w:rPr>
                <w:rFonts w:ascii="Calibri" w:cs="Calibri" w:eastAsia="Calibri" w:hAnsi="Calibri"/>
                <w:color w:val="222222"/>
                <w:sz w:val="20"/>
                <w:szCs w:val="20"/>
              </w:rPr>
              <w:t xml:space="preserve">Además el validador AVISA pero no impide guardar un activo con código fuera de norma.</w:t>
            </w:r>
          </w:p>
          <w:p>
            <w:pPr>
              <w:spacing w:after="0" w:line="264"/>
            </w:pPr>
            <w:r>
              <w:rPr>
                <w:rFonts w:ascii="Calibri" w:cs="Calibri" w:eastAsia="Calibri" w:hAnsi="Calibri"/>
                <w:color w:val="222222"/>
                <w:sz w:val="20"/>
                <w:szCs w:val="20"/>
              </w:rPr>
              <w:t xml:space="preserve">PROPUESTA: mover prefijo, orden de segmentos, ancho de cada uno y catálogo de tipos a la configuración del sistema. Media jornada, y cierra la última pieza que hoy necesita un programador.</w:t>
            </w:r>
          </w:p>
        </w:tc>
      </w:tr>
    </w:tbl>
    <w:p>
      <w:pPr>
        <w:spacing w:after="240"/>
      </w:pPr>
    </w:p>
    <w:p>
      <w:pPr>
        <w:pStyle w:val="Heading2"/>
        <w:spacing w:after="120" w:before="300"/>
      </w:pPr>
      <w:r>
        <w:rPr>
          <w:rFonts w:ascii="Calibri" w:cs="Calibri" w:eastAsia="Calibri" w:hAnsi="Calibri"/>
          <w:b/>
          <w:bCs/>
          <w:color w:val="1F3864"/>
          <w:sz w:val="24"/>
          <w:szCs w:val="24"/>
        </w:rPr>
        <w:t xml:space="preserve">3.3 Colores: lo que de verdad dice la norma</w:t>
      </w:r>
    </w:p>
    <w:tbl>
      <w:tblPr>
        <w:tblW w:type="dxa" w:w="9360"/>
        <w:tblBorders>
          <w:top w:val="none" w:color="FFFFFF" w:sz="0"/>
          <w:left w:val="single" w:color="B45309" w:sz="18"/>
          <w:bottom w:val="none" w:color="FFFFFF" w:sz="0"/>
          <w:right w:val="none" w:color="FFFFFF" w:sz="0"/>
          <w:insideH w:val="none" w:color="FFFFFF" w:sz="0"/>
          <w:insideV w:val="none" w:color="FFFFFF" w:sz="0"/>
        </w:tblBorders>
      </w:tblPr>
      <w:tblGrid>
        <w:gridCol w:w="9360"/>
      </w:tblGrid>
      <w:tr>
        <w:tc>
          <w:tcPr>
            <w:tcW w:type="dxa" w:w="936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B45309"/>
                <w:sz w:val="21"/>
                <w:szCs w:val="21"/>
              </w:rPr>
              <w:t xml:space="preserve">Cuidado con una confusión que se comete mucho</w:t>
            </w:r>
          </w:p>
          <w:p>
            <w:pPr>
              <w:spacing w:before="60" w:line="276"/>
            </w:pPr>
            <w:r>
              <w:rPr>
                <w:rFonts w:ascii="Calibri" w:cs="Calibri" w:eastAsia="Calibri" w:hAnsi="Calibri"/>
                <w:sz w:val="20"/>
                <w:szCs w:val="20"/>
              </w:rPr>
              <w:t xml:space="preserve">Hay DOS cosas distintas que la gente mezcla. Una es el color de los PARES DENTRO del cable UTP —blanco-naranja, naranja, blanco-verde, azul…— que sí está fijado por TIA-568 en los esquemas T568A y T568B, y que el técnico no elige: lo impone el conector. La otra es el color de la CHAQUETA del cable y de las ETIQUETAS, que la TIA-606 recomienda pero no obliga, y que cada planta define en su propio estándar interno.</w:t>
            </w:r>
          </w:p>
        </w:tc>
      </w:tr>
    </w:tbl>
    <w:p>
      <w:pPr>
        <w:spacing w:after="160"/>
      </w:pPr>
    </w:p>
    <w:p>
      <w:pPr>
        <w:spacing w:after="120" w:line="276"/>
      </w:pPr>
      <w:r>
        <w:rPr>
          <w:rFonts w:ascii="Calibri" w:cs="Calibri" w:eastAsia="Calibri" w:hAnsi="Calibri"/>
          <w:color w:val="222222"/>
          <w:sz w:val="21"/>
          <w:szCs w:val="21"/>
        </w:rPr>
        <w:t xml:space="preserve">Para Aceros Arequipa lo útil es fijar el segundo, porque el primero ya viene resuelto. El esquema de abajo es el que usa la industria de integración de CCTV y el que se propone adoptar como ESTÁNDAR INTERNO DE PLANTA:</w:t>
      </w:r>
    </w:p>
    <w:p>
      <w:pPr>
        <w:spacing w:after="120"/>
      </w:pP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700"/>
        <w:gridCol w:w="2100"/>
        <w:gridCol w:w="5560"/>
      </w:tblGrid>
      <w:tr>
        <w:trPr>
          <w:tblHeader/>
        </w:trPr>
        <w:tc>
          <w:tcPr>
            <w:tcW w:type="dxa" w:w="17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Color de chaqueta</w:t>
            </w:r>
          </w:p>
        </w:tc>
        <w:tc>
          <w:tcPr>
            <w:tcW w:type="dxa" w:w="21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Para qué</w:t>
            </w:r>
          </w:p>
        </w:tc>
        <w:tc>
          <w:tcPr>
            <w:tcW w:type="dxa" w:w="556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Por qué se separa</w:t>
            </w:r>
          </w:p>
        </w:tc>
      </w:tr>
      <w:tr>
        <w:tc>
          <w:tcPr>
            <w:tcW w:type="dxa" w:w="17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NARANJA</w:t>
            </w:r>
          </w:p>
        </w:tc>
        <w:tc>
          <w:tcPr>
            <w:tcW w:type="dxa" w:w="21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Backbone / uplink</w:t>
            </w:r>
          </w:p>
        </w:tc>
        <w:tc>
          <w:tcPr>
            <w:tcW w:type="dxa" w:w="55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 troncal entre salas. Si se corta, deja ciego un tren entero. Es lo primero que se busca en un rack cuando algo grande cae.</w:t>
            </w:r>
          </w:p>
        </w:tc>
      </w:tr>
      <w:tr>
        <w:tc>
          <w:tcPr>
            <w:tcW w:type="dxa" w:w="17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NEGRO</w:t>
            </w:r>
          </w:p>
        </w:tc>
        <w:tc>
          <w:tcPr>
            <w:tcW w:type="dxa" w:w="21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Servidores y equipos</w:t>
            </w:r>
          </w:p>
        </w:tc>
        <w:tc>
          <w:tcPr>
            <w:tcW w:type="dxa" w:w="55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Lo que vive dentro del rack y no sale de él. Separarlo evita tirar del cable equivocado al mover un equipo.</w:t>
            </w:r>
          </w:p>
        </w:tc>
      </w:tr>
      <w:tr>
        <w:tc>
          <w:tcPr>
            <w:tcW w:type="dxa" w:w="17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AMARILLO</w:t>
            </w:r>
          </w:p>
        </w:tc>
        <w:tc>
          <w:tcPr>
            <w:tcW w:type="dxa" w:w="21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Wi-Fi y PoE</w:t>
            </w:r>
          </w:p>
        </w:tc>
        <w:tc>
          <w:tcPr>
            <w:tcW w:type="dxa" w:w="55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Lleva ALIMENTACIÓN además de datos. Distinguirlo importa: desconectarlo apaga el equipo del otro extremo, no sólo lo desconecta.</w:t>
            </w:r>
          </w:p>
        </w:tc>
      </w:tr>
      <w:tr>
        <w:tc>
          <w:tcPr>
            <w:tcW w:type="dxa" w:w="17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AZUL</w:t>
            </w:r>
          </w:p>
        </w:tc>
        <w:tc>
          <w:tcPr>
            <w:tcW w:type="dxa" w:w="21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Datos de red</w:t>
            </w:r>
          </w:p>
        </w:tc>
        <w:tc>
          <w:tcPr>
            <w:tcW w:type="dxa" w:w="55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 tramo horizontal común, el más numeroso de la instalación.</w:t>
            </w:r>
          </w:p>
        </w:tc>
      </w:tr>
      <w:tr>
        <w:tc>
          <w:tcPr>
            <w:tcW w:type="dxa" w:w="17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VERDE</w:t>
            </w:r>
          </w:p>
        </w:tc>
        <w:tc>
          <w:tcPr>
            <w:tcW w:type="dxa" w:w="21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CCTV y seguridad</w:t>
            </w:r>
          </w:p>
        </w:tc>
        <w:tc>
          <w:tcPr>
            <w:tcW w:type="dxa" w:w="55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Las cámaras. En esta planta es el sistema que sostiene el software, y verlo aparte del resto de la red es lo que permite auditarlo.</w:t>
            </w:r>
          </w:p>
        </w:tc>
      </w:tr>
      <w:tr>
        <w:tc>
          <w:tcPr>
            <w:tcW w:type="dxa" w:w="17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BLANCO</w:t>
            </w:r>
          </w:p>
        </w:tc>
        <w:tc>
          <w:tcPr>
            <w:tcW w:type="dxa" w:w="21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Telefonía y voz</w:t>
            </w:r>
          </w:p>
        </w:tc>
        <w:tc>
          <w:tcPr>
            <w:tcW w:type="dxa" w:w="55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No es de Mantenimiento CCTV, y por eso se marca: para que nadie lo toque por error.</w:t>
            </w:r>
          </w:p>
        </w:tc>
      </w:tr>
    </w:tbl>
    <w:p>
      <w:pPr>
        <w:spacing w:after="200"/>
      </w:pPr>
    </w:p>
    <w:tbl>
      <w:tblPr>
        <w:tblW w:type="dxa" w:w="9360"/>
        <w:tblBorders>
          <w:top w:val="none" w:color="FFFFFF" w:sz="0"/>
          <w:left w:val="single" w:color="B45309" w:sz="18"/>
          <w:bottom w:val="none" w:color="FFFFFF" w:sz="0"/>
          <w:right w:val="none" w:color="FFFFFF" w:sz="0"/>
          <w:insideH w:val="none" w:color="FFFFFF" w:sz="0"/>
          <w:insideV w:val="none" w:color="FFFFFF" w:sz="0"/>
        </w:tblBorders>
      </w:tblPr>
      <w:tblGrid>
        <w:gridCol w:w="9360"/>
      </w:tblGrid>
      <w:tr>
        <w:tc>
          <w:tcPr>
            <w:tcW w:type="dxa" w:w="936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B45309"/>
                <w:sz w:val="21"/>
                <w:szCs w:val="21"/>
              </w:rPr>
              <w:t xml:space="preserve">Lo que dice la norma sobre esto, textualmente</w:t>
            </w:r>
          </w:p>
          <w:p>
            <w:pPr>
              <w:spacing w:before="60" w:line="276"/>
            </w:pPr>
            <w:r>
              <w:rPr>
                <w:rFonts w:ascii="Calibri" w:cs="Calibri" w:eastAsia="Calibri" w:hAnsi="Calibri"/>
                <w:sz w:val="20"/>
                <w:szCs w:val="20"/>
              </w:rPr>
              <w:t xml:space="preserve">NO EXISTE UN COLOR UNIVERSAL OBLIGATORIO. La TIA-606-C recomienda el uso de color como ayuda visual pero no lo impone. Lo que sí es exigible es la COHERENCIA: una vez que la planta elige su esquema, tiene que mantenerse idéntico en toda la instalación. Un estándar interno respetado vale más que uno internacional aplicado a medias — porque el valor del color no está en cuál sea, sino en que signifique siempre lo mismo.</w:t>
            </w:r>
          </w:p>
        </w:tc>
      </w:tr>
    </w:tbl>
    <w:p>
      <w:pPr>
        <w:spacing w:after="200"/>
      </w:pPr>
    </w:p>
    <w:p>
      <w:pPr>
        <w:spacing w:after="200"/>
      </w:pPr>
    </w:p>
    <w:p>
      <w:pPr>
        <w:spacing w:after="120" w:line="276"/>
      </w:pPr>
      <w:r>
        <w:rPr>
          <w:rFonts w:ascii="Calibri" w:cs="Calibri" w:eastAsia="Calibri" w:hAnsi="Calibri"/>
          <w:b/>
          <w:bCs/>
          <w:color w:val="222222"/>
          <w:sz w:val="21"/>
          <w:szCs w:val="21"/>
        </w:rPr>
        <w:t xml:space="preserve">Cómo lo aplicaría el software: </w:t>
      </w:r>
      <w:r>
        <w:rPr>
          <w:rFonts w:ascii="Calibri" w:cs="Calibri" w:eastAsia="Calibri" w:hAnsi="Calibri"/>
          <w:color w:val="222222"/>
          <w:sz w:val="21"/>
          <w:szCs w:val="21"/>
        </w:rPr>
        <w:t xml:space="preserve">el color pasa a ser un campo del tramo de cable, con la lista tomada de un catálogo editable —no de un valor fijo en el código—, y la pantalla de Rotulado enseña la leyenda que la planta decidió. Así el estándar deja de vivir en la cabeza de dos personas.</w:t>
      </w:r>
    </w:p>
    <w:p>
      <w:pPr>
        <w:spacing w:after="240"/>
      </w:pPr>
    </w:p>
    <w:p>
      <w:pPr>
        <w:pStyle w:val="Heading2"/>
        <w:spacing w:after="120" w:before="300"/>
      </w:pPr>
      <w:r>
        <w:rPr>
          <w:rFonts w:ascii="Calibri" w:cs="Calibri" w:eastAsia="Calibri" w:hAnsi="Calibri"/>
          <w:b/>
          <w:bCs/>
          <w:color w:val="1F3864"/>
          <w:sz w:val="24"/>
          <w:szCs w:val="24"/>
        </w:rPr>
        <w:t xml:space="preserve">3.4 Cableado estructurado — ANSI/TIA-568</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100"/>
        <w:gridCol w:w="7260"/>
      </w:tblGrid>
      <w:tr>
        <w:tc>
          <w:tcPr>
            <w:tcW w:type="dxa" w:w="210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1F3864"/>
                <w:sz w:val="19"/>
                <w:szCs w:val="19"/>
              </w:rPr>
              <w:t xml:space="preserve">Qué exige</w:t>
            </w:r>
          </w:p>
        </w:tc>
        <w:tc>
          <w:tcPr>
            <w:tcW w:type="dxa" w:w="7260"/>
            <w:tcMar>
              <w:top w:type="dxa" w:w="90"/>
              <w:left w:type="dxa" w:w="130"/>
              <w:bottom w:type="dxa" w:w="90"/>
              <w:right w:type="dxa" w:w="130"/>
            </w:tcMar>
            <w:vAlign w:val="top"/>
          </w:tcPr>
          <w:p>
            <w:pPr>
              <w:spacing w:after="0" w:line="264"/>
            </w:pPr>
            <w:r>
              <w:rPr>
                <w:rFonts w:ascii="Calibri" w:cs="Calibri" w:eastAsia="Calibri" w:hAnsi="Calibri"/>
                <w:color w:val="222222"/>
                <w:sz w:val="20"/>
                <w:szCs w:val="20"/>
              </w:rPr>
              <w:t xml:space="preserve">Tramo horizontal de cobre: máximo 90 m de cable fijo, más 10 m de latiguillos. Superarlo produce fallos intermitentes, no una caída limpia.</w:t>
            </w:r>
          </w:p>
          <w:p>
            <w:pPr>
              <w:spacing w:after="0" w:line="264"/>
            </w:pPr>
            <w:r>
              <w:rPr>
                <w:rFonts w:ascii="Calibri" w:cs="Calibri" w:eastAsia="Calibri" w:hAnsi="Calibri"/>
                <w:color w:val="222222"/>
                <w:sz w:val="20"/>
                <w:szCs w:val="20"/>
              </w:rPr>
              <w:t xml:space="preserve">Separación entre cables de datos y de fuerza, o blindaje si comparten bandeja.</w:t>
            </w:r>
          </w:p>
          <w:p>
            <w:pPr>
              <w:spacing w:after="0" w:line="264"/>
            </w:pPr>
            <w:r>
              <w:rPr>
                <w:rFonts w:ascii="Calibri" w:cs="Calibri" w:eastAsia="Calibri" w:hAnsi="Calibri"/>
                <w:color w:val="222222"/>
                <w:sz w:val="20"/>
                <w:szCs w:val="20"/>
              </w:rPr>
              <w:t xml:space="preserve">Radio de curvatura mínimo y tensión máxima de tracción al tender.</w:t>
            </w:r>
          </w:p>
        </w:tc>
      </w:tr>
      <w:tr>
        <w:tc>
          <w:tcPr>
            <w:tcW w:type="dxa" w:w="210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1F3864"/>
                <w:sz w:val="19"/>
                <w:szCs w:val="19"/>
              </w:rPr>
              <w:t xml:space="preserve">Cómo se aplica</w:t>
            </w:r>
          </w:p>
        </w:tc>
        <w:tc>
          <w:tcPr>
            <w:tcW w:type="dxa" w:w="7260"/>
            <w:tcMar>
              <w:top w:type="dxa" w:w="90"/>
              <w:left w:type="dxa" w:w="130"/>
              <w:bottom w:type="dxa" w:w="90"/>
              <w:right w:type="dxa" w:w="130"/>
            </w:tcMar>
            <w:vAlign w:val="top"/>
          </w:tcPr>
          <w:p>
            <w:pPr>
              <w:spacing w:after="0" w:line="264"/>
            </w:pPr>
            <w:r>
              <w:rPr>
                <w:rFonts w:ascii="Calibri" w:cs="Calibri" w:eastAsia="Calibri" w:hAnsi="Calibri"/>
                <w:color w:val="222222"/>
                <w:sz w:val="20"/>
                <w:szCs w:val="20"/>
              </w:rPr>
              <w:t xml:space="preserve">El límite de 90 m está en el sistema y se marca solo: el tablero de cada tren cuenta los tramos fuera de norma, y distingue los MEDIDOS de los estimados a ojo.</w:t>
            </w:r>
          </w:p>
          <w:p>
            <w:pPr>
              <w:spacing w:after="0" w:line="264"/>
            </w:pPr>
            <w:r>
              <w:rPr>
                <w:rFonts w:ascii="Calibri" w:cs="Calibri" w:eastAsia="Calibri" w:hAnsi="Calibri"/>
                <w:color w:val="222222"/>
                <w:sz w:val="20"/>
                <w:szCs w:val="20"/>
              </w:rPr>
              <w:t xml:space="preserve">El recorrido se registra —bandeja, canaleta, aérea, subterránea— y el sistema sabe que una bandeja compartida con fuerza exige blindaje.</w:t>
            </w:r>
          </w:p>
        </w:tc>
      </w:tr>
      <w:tr>
        <w:tc>
          <w:tcPr>
            <w:tcW w:type="dxa" w:w="210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1E7145"/>
                <w:sz w:val="19"/>
                <w:szCs w:val="19"/>
              </w:rPr>
              <w:t xml:space="preserve">Estado hoy</w:t>
            </w:r>
          </w:p>
        </w:tc>
        <w:tc>
          <w:tcPr>
            <w:tcW w:type="dxa" w:w="7260"/>
            <w:tcMar>
              <w:top w:type="dxa" w:w="90"/>
              <w:left w:type="dxa" w:w="130"/>
              <w:bottom w:type="dxa" w:w="90"/>
              <w:right w:type="dxa" w:w="130"/>
            </w:tcMar>
            <w:vAlign w:val="top"/>
          </w:tcPr>
          <w:p>
            <w:pPr>
              <w:spacing w:after="0" w:line="264"/>
            </w:pPr>
            <w:r>
              <w:rPr>
                <w:rFonts w:ascii="Calibri" w:cs="Calibri" w:eastAsia="Calibri" w:hAnsi="Calibri"/>
                <w:color w:val="222222"/>
                <w:sz w:val="20"/>
                <w:szCs w:val="20"/>
              </w:rPr>
              <w:t xml:space="preserve">BUENO. Es de lo mejor resuelto del sistema. Un tramo largo da fallos que se diagnostican durante meses; aquí sale marcado desde el primer día.</w:t>
            </w:r>
          </w:p>
          <w:p>
            <w:pPr>
              <w:spacing w:after="0" w:line="264"/>
            </w:pPr>
            <w:r>
              <w:rPr>
                <w:rFonts w:ascii="Calibri" w:cs="Calibri" w:eastAsia="Calibri" w:hAnsi="Calibri"/>
                <w:color w:val="222222"/>
                <w:sz w:val="20"/>
                <w:szCs w:val="20"/>
              </w:rPr>
              <w:t xml:space="preserve">Pendiente: nada verifica el dato contra la red real. Un tramo mal medido se queda mal para siempre.</w:t>
            </w:r>
          </w:p>
        </w:tc>
      </w:tr>
    </w:tbl>
    <w:p>
      <w:pPr>
        <w:spacing w:after="240"/>
      </w:pPr>
    </w:p>
    <w:p>
      <w:pPr>
        <w:pStyle w:val="Heading2"/>
        <w:spacing w:after="120" w:before="300"/>
      </w:pPr>
      <w:r>
        <w:rPr>
          <w:rFonts w:ascii="Calibri" w:cs="Calibri" w:eastAsia="Calibri" w:hAnsi="Calibri"/>
          <w:b/>
          <w:bCs/>
          <w:color w:val="1F3864"/>
          <w:sz w:val="24"/>
          <w:szCs w:val="24"/>
        </w:rPr>
        <w:t xml:space="preserve">3.5 Videovigilancia — IEC/EN 62676-4</w:t>
      </w:r>
    </w:p>
    <w:p>
      <w:pPr>
        <w:spacing w:after="120" w:line="276"/>
      </w:pPr>
      <w:r>
        <w:rPr>
          <w:rFonts w:ascii="Calibri" w:cs="Calibri" w:eastAsia="Calibri" w:hAnsi="Calibri"/>
          <w:color w:val="222222"/>
          <w:sz w:val="21"/>
          <w:szCs w:val="21"/>
        </w:rPr>
        <w:t xml:space="preserve">Es la norma internacional de sistemas de videovigilancia para seguridad, sucesora de la EN 50132-7. Cubre objetivos operativos, diseño, ubicación, rendimiento y gestión. Su edición de 2025 amplía el modelo clásico DORI a siete niveles de desempeño visual.</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100"/>
        <w:gridCol w:w="7260"/>
      </w:tblGrid>
      <w:tr>
        <w:tc>
          <w:tcPr>
            <w:tcW w:type="dxa" w:w="210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1F3864"/>
                <w:sz w:val="19"/>
                <w:szCs w:val="19"/>
              </w:rPr>
              <w:t xml:space="preserve">Qué exige</w:t>
            </w:r>
          </w:p>
        </w:tc>
        <w:tc>
          <w:tcPr>
            <w:tcW w:type="dxa" w:w="7260"/>
            <w:tcMar>
              <w:top w:type="dxa" w:w="90"/>
              <w:left w:type="dxa" w:w="130"/>
              <w:bottom w:type="dxa" w:w="90"/>
              <w:right w:type="dxa" w:w="130"/>
            </w:tcMar>
            <w:vAlign w:val="top"/>
          </w:tcPr>
          <w:p>
            <w:pPr>
              <w:spacing w:after="0" w:line="264"/>
            </w:pPr>
            <w:r>
              <w:rPr>
                <w:rFonts w:ascii="Calibri" w:cs="Calibri" w:eastAsia="Calibri" w:hAnsi="Calibri"/>
                <w:color w:val="222222"/>
                <w:sz w:val="20"/>
                <w:szCs w:val="20"/>
              </w:rPr>
              <w:t xml:space="preserve">Definir para cada cámara QUÉ NIVEL DE DETALLE se necesita: detectar presencia, observar, reconocer o identificar. De ahí sale la densidad de píxeles y la óptica.</w:t>
            </w:r>
          </w:p>
          <w:p>
            <w:pPr>
              <w:spacing w:after="0" w:line="264"/>
            </w:pPr>
            <w:r>
              <w:rPr>
                <w:rFonts w:ascii="Calibri" w:cs="Calibri" w:eastAsia="Calibri" w:hAnsi="Calibri"/>
                <w:color w:val="222222"/>
                <w:sz w:val="20"/>
                <w:szCs w:val="20"/>
              </w:rPr>
              <w:t xml:space="preserve">Justificar la ubicación por el objetivo operativo, no por dónde había un poste libre.</w:t>
            </w:r>
          </w:p>
          <w:p>
            <w:pPr>
              <w:spacing w:after="0" w:line="264"/>
            </w:pPr>
            <w:r>
              <w:rPr>
                <w:rFonts w:ascii="Calibri" w:cs="Calibri" w:eastAsia="Calibri" w:hAnsi="Calibri"/>
                <w:color w:val="222222"/>
                <w:sz w:val="20"/>
                <w:szCs w:val="20"/>
              </w:rPr>
              <w:t xml:space="preserve">Requisitos de retención y de calidad de la transmisión.</w:t>
            </w:r>
          </w:p>
        </w:tc>
      </w:tr>
      <w:tr>
        <w:tc>
          <w:tcPr>
            <w:tcW w:type="dxa" w:w="210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1F3864"/>
                <w:sz w:val="19"/>
                <w:szCs w:val="19"/>
              </w:rPr>
              <w:t xml:space="preserve">Cómo se aplica</w:t>
            </w:r>
          </w:p>
        </w:tc>
        <w:tc>
          <w:tcPr>
            <w:tcW w:type="dxa" w:w="7260"/>
            <w:tcMar>
              <w:top w:type="dxa" w:w="90"/>
              <w:left w:type="dxa" w:w="130"/>
              <w:bottom w:type="dxa" w:w="90"/>
              <w:right w:type="dxa" w:w="130"/>
            </w:tcMar>
            <w:vAlign w:val="top"/>
          </w:tcPr>
          <w:p>
            <w:pPr>
              <w:spacing w:after="0" w:line="264"/>
            </w:pPr>
            <w:r>
              <w:rPr>
                <w:rFonts w:ascii="Calibri" w:cs="Calibri" w:eastAsia="Calibri" w:hAnsi="Calibri"/>
                <w:color w:val="222222"/>
                <w:sz w:val="20"/>
                <w:szCs w:val="20"/>
              </w:rPr>
              <w:t xml:space="preserve">El sistema ya guarda la FOTO DE A QUÉ APUNTA cada cámara y el campo «qué se vigila» de la zona.</w:t>
            </w:r>
          </w:p>
          <w:p>
            <w:pPr>
              <w:spacing w:after="0" w:line="264"/>
            </w:pPr>
            <w:r>
              <w:rPr>
                <w:rFonts w:ascii="Calibri" w:cs="Calibri" w:eastAsia="Calibri" w:hAnsi="Calibri"/>
                <w:color w:val="222222"/>
                <w:sz w:val="20"/>
                <w:szCs w:val="20"/>
              </w:rPr>
              <w:t xml:space="preserve">Producción declara el impacto de perder la vista de una zona, que es el objetivo operativo en lenguaje de planta.</w:t>
            </w:r>
          </w:p>
        </w:tc>
      </w:tr>
      <w:tr>
        <w:tc>
          <w:tcPr>
            <w:tcW w:type="dxa" w:w="210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B22222"/>
                <w:sz w:val="19"/>
                <w:szCs w:val="19"/>
              </w:rPr>
              <w:t xml:space="preserve">Estado hoy</w:t>
            </w:r>
          </w:p>
        </w:tc>
        <w:tc>
          <w:tcPr>
            <w:tcW w:type="dxa" w:w="7260"/>
            <w:tcMar>
              <w:top w:type="dxa" w:w="90"/>
              <w:left w:type="dxa" w:w="130"/>
              <w:bottom w:type="dxa" w:w="90"/>
              <w:right w:type="dxa" w:w="130"/>
            </w:tcMar>
            <w:vAlign w:val="top"/>
          </w:tcPr>
          <w:p>
            <w:pPr>
              <w:spacing w:after="0" w:line="264"/>
            </w:pPr>
            <w:r>
              <w:rPr>
                <w:rFonts w:ascii="Calibri" w:cs="Calibri" w:eastAsia="Calibri" w:hAnsi="Calibri"/>
                <w:color w:val="222222"/>
                <w:sz w:val="20"/>
                <w:szCs w:val="20"/>
              </w:rPr>
              <w:t xml:space="preserve">AUSENTE como norma. El nivel DORI no se registra en ninguna parte.</w:t>
            </w:r>
          </w:p>
          <w:p>
            <w:pPr>
              <w:spacing w:after="0" w:line="264"/>
            </w:pPr>
            <w:r>
              <w:rPr>
                <w:rFonts w:ascii="Calibri" w:cs="Calibri" w:eastAsia="Calibri" w:hAnsi="Calibri"/>
                <w:color w:val="222222"/>
                <w:sz w:val="20"/>
                <w:szCs w:val="20"/>
              </w:rPr>
              <w:t xml:space="preserve">PROPUESTA: un campo por cámara con su objetivo —detectar, observar, reconocer, identificar— y el ancho de escena. Con eso el sistema puede avisar de que una cámara puesta para «identificar» tiene una óptica que no da esa densidad de píxeles, que es una discusión que hoy se tiene a ojo.</w:t>
            </w:r>
          </w:p>
        </w:tc>
      </w:tr>
    </w:tbl>
    <w:p>
      <w:pPr>
        <w:spacing w:after="240"/>
      </w:pPr>
    </w:p>
    <w:p>
      <w:pPr>
        <w:pStyle w:val="Heading2"/>
        <w:spacing w:after="120" w:before="300"/>
      </w:pPr>
      <w:r>
        <w:rPr>
          <w:rFonts w:ascii="Calibri" w:cs="Calibri" w:eastAsia="Calibri" w:hAnsi="Calibri"/>
          <w:b/>
          <w:bCs/>
          <w:color w:val="1F3864"/>
          <w:sz w:val="24"/>
          <w:szCs w:val="24"/>
        </w:rPr>
        <w:t xml:space="preserve">3.6 Bloqueo y etiquetado eléctrico — LOTO</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100"/>
        <w:gridCol w:w="7260"/>
      </w:tblGrid>
      <w:tr>
        <w:tc>
          <w:tcPr>
            <w:tcW w:type="dxa" w:w="210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1F3864"/>
                <w:sz w:val="19"/>
                <w:szCs w:val="19"/>
              </w:rPr>
              <w:t xml:space="preserve">Qué exige</w:t>
            </w:r>
          </w:p>
        </w:tc>
        <w:tc>
          <w:tcPr>
            <w:tcW w:type="dxa" w:w="7260"/>
            <w:tcMar>
              <w:top w:type="dxa" w:w="90"/>
              <w:left w:type="dxa" w:w="130"/>
              <w:bottom w:type="dxa" w:w="90"/>
              <w:right w:type="dxa" w:w="130"/>
            </w:tcMar>
            <w:vAlign w:val="top"/>
          </w:tcPr>
          <w:p>
            <w:pPr>
              <w:spacing w:after="0" w:line="264"/>
            </w:pPr>
            <w:r>
              <w:rPr>
                <w:rFonts w:ascii="Calibri" w:cs="Calibri" w:eastAsia="Calibri" w:hAnsi="Calibri"/>
                <w:color w:val="222222"/>
                <w:sz w:val="20"/>
                <w:szCs w:val="20"/>
              </w:rPr>
              <w:t xml:space="preserve">Antes de intervenir un equipo alimentado: cortar, bloquear con candado, etiquetar y VERIFICAR ausencia de tensión.</w:t>
            </w:r>
          </w:p>
          <w:p>
            <w:pPr>
              <w:spacing w:after="0" w:line="264"/>
            </w:pPr>
            <w:r>
              <w:rPr>
                <w:rFonts w:ascii="Calibri" w:cs="Calibri" w:eastAsia="Calibri" w:hAnsi="Calibri"/>
                <w:color w:val="222222"/>
                <w:sz w:val="20"/>
                <w:szCs w:val="20"/>
              </w:rPr>
              <w:t xml:space="preserve">Cada persona pone su propio candado y sólo ella lo retira.</w:t>
            </w:r>
          </w:p>
        </w:tc>
      </w:tr>
      <w:tr>
        <w:tc>
          <w:tcPr>
            <w:tcW w:type="dxa" w:w="210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1F3864"/>
                <w:sz w:val="19"/>
                <w:szCs w:val="19"/>
              </w:rPr>
              <w:t xml:space="preserve">Cómo se aplica</w:t>
            </w:r>
          </w:p>
        </w:tc>
        <w:tc>
          <w:tcPr>
            <w:tcW w:type="dxa" w:w="7260"/>
            <w:tcMar>
              <w:top w:type="dxa" w:w="90"/>
              <w:left w:type="dxa" w:w="130"/>
              <w:bottom w:type="dxa" w:w="90"/>
              <w:right w:type="dxa" w:w="130"/>
            </w:tcMar>
            <w:vAlign w:val="top"/>
          </w:tcPr>
          <w:p>
            <w:pPr>
              <w:spacing w:after="0" w:line="264"/>
            </w:pPr>
            <w:r>
              <w:rPr>
                <w:rFonts w:ascii="Calibri" w:cs="Calibri" w:eastAsia="Calibri" w:hAnsi="Calibri"/>
                <w:color w:val="222222"/>
                <w:sz w:val="20"/>
                <w:szCs w:val="20"/>
              </w:rPr>
              <w:t xml:space="preserve">El módulo de Electricidad sabe qué llave alimenta cada equipo y sigue la cadena de tableros hacia arriba: si cae el general, se sabe qué cae debajo.</w:t>
            </w:r>
          </w:p>
          <w:p>
            <w:pPr>
              <w:spacing w:after="0" w:line="264"/>
            </w:pPr>
            <w:r>
              <w:rPr>
                <w:rFonts w:ascii="Calibri" w:cs="Calibri" w:eastAsia="Calibri" w:hAnsi="Calibri"/>
                <w:color w:val="222222"/>
                <w:sz w:val="20"/>
                <w:szCs w:val="20"/>
              </w:rPr>
              <w:t xml:space="preserve">La intervenibilidad clasifica las zonas de sala eléctrica y MCC como CON_PERMISO_ELECTRICO.</w:t>
            </w:r>
          </w:p>
          <w:p>
            <w:pPr>
              <w:spacing w:after="0" w:line="264"/>
            </w:pPr>
            <w:r>
              <w:rPr>
                <w:rFonts w:ascii="Calibri" w:cs="Calibri" w:eastAsia="Calibri" w:hAnsi="Calibri"/>
                <w:color w:val="222222"/>
                <w:sz w:val="20"/>
                <w:szCs w:val="20"/>
              </w:rPr>
              <w:t xml:space="preserve">Cada tablero lleva la marca de si exige permiso, y la pantalla de «Mis activos» lo avisa en la cabecera del grupo.</w:t>
            </w:r>
          </w:p>
        </w:tc>
      </w:tr>
      <w:tr>
        <w:tc>
          <w:tcPr>
            <w:tcW w:type="dxa" w:w="210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B22222"/>
                <w:sz w:val="19"/>
                <w:szCs w:val="19"/>
              </w:rPr>
              <w:t xml:space="preserve">Estado hoy</w:t>
            </w:r>
          </w:p>
        </w:tc>
        <w:tc>
          <w:tcPr>
            <w:tcW w:type="dxa" w:w="7260"/>
            <w:tcMar>
              <w:top w:type="dxa" w:w="90"/>
              <w:left w:type="dxa" w:w="130"/>
              <w:bottom w:type="dxa" w:w="90"/>
              <w:right w:type="dxa" w:w="130"/>
            </w:tcMar>
            <w:vAlign w:val="top"/>
          </w:tcPr>
          <w:p>
            <w:pPr>
              <w:spacing w:after="0" w:line="264"/>
            </w:pPr>
            <w:r>
              <w:rPr>
                <w:rFonts w:ascii="Calibri" w:cs="Calibri" w:eastAsia="Calibri" w:hAnsi="Calibri"/>
                <w:color w:val="222222"/>
                <w:sz w:val="20"/>
                <w:szCs w:val="20"/>
              </w:rPr>
              <w:t xml:space="preserve">PARCIAL. El sistema sabe QUÉ hay que bloquear, pero no registra que se haya bloqueado.</w:t>
            </w:r>
          </w:p>
          <w:p>
            <w:pPr>
              <w:spacing w:after="0" w:line="264"/>
            </w:pPr>
            <w:r>
              <w:rPr>
                <w:rFonts w:ascii="Calibri" w:cs="Calibri" w:eastAsia="Calibri" w:hAnsi="Calibri"/>
                <w:color w:val="222222"/>
                <w:sz w:val="20"/>
                <w:szCs w:val="20"/>
              </w:rPr>
              <w:t xml:space="preserve">PROPUESTA: casilla de verificación de bloqueo con el circuito concreto, obligatoria para cerrar una orden sobre equipo montado en tablero.</w:t>
            </w:r>
          </w:p>
        </w:tc>
      </w:tr>
    </w:tbl>
    <w:p>
      <w:pPr>
        <w:spacing w:after="240"/>
      </w:pPr>
    </w:p>
    <w:p>
      <w:pPr>
        <w:pStyle w:val="Heading2"/>
        <w:spacing w:after="120" w:before="300"/>
      </w:pPr>
      <w:r>
        <w:rPr>
          <w:rFonts w:ascii="Calibri" w:cs="Calibri" w:eastAsia="Calibri" w:hAnsi="Calibri"/>
          <w:b/>
          <w:bCs/>
          <w:color w:val="1F3864"/>
          <w:sz w:val="24"/>
          <w:szCs w:val="24"/>
        </w:rPr>
        <w:t xml:space="preserve">3.7 Gestión de activos y confiabilidad</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300"/>
        <w:gridCol w:w="3300"/>
        <w:gridCol w:w="3760"/>
      </w:tblGrid>
      <w:tr>
        <w:trPr>
          <w:tblHeader/>
        </w:trPr>
        <w:tc>
          <w:tcPr>
            <w:tcW w:type="dxa" w:w="23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Norma o método</w:t>
            </w:r>
          </w:p>
        </w:tc>
        <w:tc>
          <w:tcPr>
            <w:tcW w:type="dxa" w:w="33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Qué aporta</w:t>
            </w:r>
          </w:p>
        </w:tc>
        <w:tc>
          <w:tcPr>
            <w:tcW w:type="dxa" w:w="376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Estado en el software</w:t>
            </w:r>
          </w:p>
        </w:tc>
      </w:tr>
      <w:tr>
        <w:tc>
          <w:tcPr>
            <w:tcW w:type="dxa" w:w="23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ISO 55000 — gestión de activos</w:t>
            </w:r>
          </w:p>
        </w:tc>
        <w:tc>
          <w:tcPr>
            <w:tcW w:type="dxa" w:w="33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Ciclo de vida completo: alta, operación, mantenimiento, obsolescencia y baja, con criticidad declarada.</w:t>
            </w:r>
          </w:p>
        </w:tc>
        <w:tc>
          <w:tcPr>
            <w:tcW w:type="dxa" w:w="37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BUENO. El activo tiene ciclo completo, criticidad derivada del proceso y módulo de obsolescencia.</w:t>
            </w:r>
          </w:p>
        </w:tc>
      </w:tr>
      <w:tr>
        <w:tc>
          <w:tcPr>
            <w:tcW w:type="dxa" w:w="23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ISO 14224 — datos de confiabilidad</w:t>
            </w:r>
          </w:p>
        </w:tc>
        <w:tc>
          <w:tcPr>
            <w:tcW w:type="dxa" w:w="33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Taxonomía común de fallas: síntoma, causa y acción, para que los datos sean comparables entre plantas.</w:t>
            </w:r>
          </w:p>
        </w:tc>
        <w:tc>
          <w:tcPr>
            <w:tcW w:type="dxa" w:w="37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PARCIAL. Existen los catálogos de causa, síntoma y acción, pero no siguen la taxonomía de la norma. Alinearlos permitiría comparar con otras plantas del grupo.</w:t>
            </w:r>
          </w:p>
        </w:tc>
      </w:tr>
      <w:tr>
        <w:tc>
          <w:tcPr>
            <w:tcW w:type="dxa" w:w="23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RCM — mantenimiento centrado en confiabilidad</w:t>
            </w:r>
          </w:p>
        </w:tc>
        <w:tc>
          <w:tcPr>
            <w:tcW w:type="dxa" w:w="33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 plan de mantenimiento sale de la CONSECUENCIA de la falla, no de la costumbre.</w:t>
            </w:r>
          </w:p>
        </w:tc>
        <w:tc>
          <w:tcPr>
            <w:tcW w:type="dxa" w:w="37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PARCIAL Y BIEN ENCAMINADO. El intervalo preventivo se deriva del ambiente y la criticidad de la zona vital. Falta el análisis de modos de falla.</w:t>
            </w:r>
          </w:p>
        </w:tc>
      </w:tr>
      <w:tr>
        <w:tc>
          <w:tcPr>
            <w:tcW w:type="dxa" w:w="23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FMEA — modos y efectos de falla</w:t>
            </w:r>
          </w:p>
        </w:tc>
        <w:tc>
          <w:tcPr>
            <w:tcW w:type="dxa" w:w="33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Qué formas tiene de fallar cada modelo y qué efecto produce cada una.</w:t>
            </w:r>
          </w:p>
        </w:tc>
        <w:tc>
          <w:tcPr>
            <w:tcW w:type="dxa" w:w="37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AUSENTE. Sería la evolución natural del módulo de Procedimientos, que ya guarda el conocimiento por modelo.</w:t>
            </w:r>
          </w:p>
        </w:tc>
      </w:tr>
      <w:tr>
        <w:tc>
          <w:tcPr>
            <w:tcW w:type="dxa" w:w="23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ITIL — gestión de incidencias</w:t>
            </w:r>
          </w:p>
        </w:tc>
        <w:tc>
          <w:tcPr>
            <w:tcW w:type="dxa" w:w="33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Separar INCIDENCIA (restaurar el servicio) de PROBLEMA (eliminar la causa raíz).</w:t>
            </w:r>
          </w:p>
        </w:tc>
        <w:tc>
          <w:tcPr>
            <w:tcW w:type="dxa" w:w="37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PARCIAL. Se registran incidencias y hay detección de reincidencia, pero no existe el concepto de «problema» que agrupe varias.</w:t>
            </w:r>
          </w:p>
        </w:tc>
      </w:tr>
    </w:tbl>
    <w:p>
      <w:r>
        <w:br w:type="page"/>
      </w:r>
    </w:p>
    <w:p>
      <w:pPr>
        <w:pStyle w:val="Heading1"/>
        <w:spacing w:after="160" w:before="360"/>
      </w:pPr>
      <w:r>
        <w:rPr>
          <w:rFonts w:ascii="Calibri" w:cs="Calibri" w:eastAsia="Calibri" w:hAnsi="Calibri"/>
          <w:b/>
          <w:bCs/>
          <w:color w:val="1F3864"/>
          <w:sz w:val="30"/>
          <w:szCs w:val="30"/>
        </w:rPr>
        <w:t xml:space="preserve">4. Los dos módulos nuevos: instalación que OBLIGA a cumplir la norma</w:t>
      </w:r>
    </w:p>
    <w:p>
      <w:pPr>
        <w:spacing w:after="120" w:line="276"/>
      </w:pPr>
      <w:r>
        <w:rPr>
          <w:rFonts w:ascii="Calibri" w:cs="Calibri" w:eastAsia="Calibri" w:hAnsi="Calibri"/>
          <w:color w:val="222222"/>
          <w:sz w:val="21"/>
          <w:szCs w:val="21"/>
        </w:rPr>
        <w:t xml:space="preserve">Hoy el sistema documenta las normas y avisa cuando algo no encaja. Estos dos módulos son el salto: la norma deja de ser un aviso y pasa a ser un CAMPO OBLIGATORIO del formulario. No se puede dar por instalada una cámara sin declarar el color de cable que se usó.</w:t>
      </w:r>
    </w:p>
    <w:p>
      <w:pPr>
        <w:spacing w:after="200"/>
      </w:pPr>
    </w:p>
    <w:tbl>
      <w:tblPr>
        <w:tblW w:type="dxa" w:w="9360"/>
        <w:tblBorders>
          <w:top w:val="none" w:color="FFFFFF" w:sz="0"/>
          <w:left w:val="single" w:color="B45309" w:sz="18"/>
          <w:bottom w:val="none" w:color="FFFFFF" w:sz="0"/>
          <w:right w:val="none" w:color="FFFFFF" w:sz="0"/>
          <w:insideH w:val="none" w:color="FFFFFF" w:sz="0"/>
          <w:insideV w:val="none" w:color="FFFFFF" w:sz="0"/>
        </w:tblBorders>
      </w:tblPr>
      <w:tblGrid>
        <w:gridCol w:w="9360"/>
      </w:tblGrid>
      <w:tr>
        <w:tc>
          <w:tcPr>
            <w:tcW w:type="dxa" w:w="936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B45309"/>
                <w:sz w:val="21"/>
                <w:szCs w:val="21"/>
              </w:rPr>
              <w:t xml:space="preserve">Por qué en el momento de instalar y no después</w:t>
            </w:r>
          </w:p>
          <w:p>
            <w:pPr>
              <w:spacing w:before="60" w:line="276"/>
            </w:pPr>
            <w:r>
              <w:rPr>
                <w:rFonts w:ascii="Calibri" w:cs="Calibri" w:eastAsia="Calibri" w:hAnsi="Calibri"/>
                <w:sz w:val="20"/>
                <w:szCs w:val="20"/>
              </w:rPr>
              <w:t xml:space="preserve">Corregir un rótulo o un color de cable después es subir otra vez, con manlift, con PETAR y con el tren parado. Cuesta cien veces más que hacerlo bien la primera vez. El único momento en que el dato es barato es cuando el técnico ya está arriba con el equipo en la mano — y ése es exactamente el momento en que hoy nadie le pregunta nada.</w:t>
            </w:r>
          </w:p>
        </w:tc>
      </w:tr>
    </w:tbl>
    <w:p>
      <w:pPr>
        <w:spacing w:after="240"/>
      </w:pPr>
    </w:p>
    <w:p>
      <w:pPr>
        <w:pStyle w:val="Heading2"/>
        <w:spacing w:after="120" w:before="300"/>
      </w:pPr>
      <w:r>
        <w:rPr>
          <w:rFonts w:ascii="Calibri" w:cs="Calibri" w:eastAsia="Calibri" w:hAnsi="Calibri"/>
          <w:b/>
          <w:bCs/>
          <w:color w:val="1F3864"/>
          <w:sz w:val="24"/>
          <w:szCs w:val="24"/>
        </w:rPr>
        <w:t xml:space="preserve">4.1 Módulo «Planificar instalación» — antes de subir</w:t>
      </w:r>
    </w:p>
    <w:p>
      <w:pPr>
        <w:spacing w:after="120" w:line="276"/>
      </w:pPr>
      <w:r>
        <w:rPr>
          <w:rFonts w:ascii="Calibri" w:cs="Calibri" w:eastAsia="Calibri" w:hAnsi="Calibri"/>
          <w:color w:val="222222"/>
          <w:sz w:val="21"/>
          <w:szCs w:val="21"/>
        </w:rPr>
        <w:t xml:space="preserve">Lo abre el ingeniero o el jefe de tren. Responde a: qué se va a instalar, dónde, y qué hace falta tener listo antes de que la cuadrilla se mueva.</w:t>
      </w:r>
    </w:p>
    <w:p>
      <w:pPr>
        <w:spacing w:after="120"/>
      </w:pP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3600"/>
        <w:gridCol w:w="5760"/>
      </w:tblGrid>
      <w:tr>
        <w:trPr>
          <w:tblHeader/>
        </w:trPr>
        <w:tc>
          <w:tcPr>
            <w:tcW w:type="dxa" w:w="36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Qué pide el formulario</w:t>
            </w:r>
          </w:p>
        </w:tc>
        <w:tc>
          <w:tcPr>
            <w:tcW w:type="dxa" w:w="576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Por qué es obligatorio</w:t>
            </w:r>
          </w:p>
        </w:tc>
      </w:tr>
      <w:tr>
        <w:tc>
          <w:tcPr>
            <w:tcW w:type="dxa" w:w="36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Tipo de equipo: cámara, NVR, switch, PC de púlpito, antena, gabinete</w:t>
            </w:r>
          </w:p>
        </w:tc>
        <w:tc>
          <w:tcPr>
            <w:tcW w:type="dxa" w:w="57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Cada tipo arrastra requisitos distintos. Un NVR necesita canales libres; una cámara necesita uno.</w:t>
            </w:r>
          </w:p>
        </w:tc>
      </w:tr>
      <w:tr>
        <w:tc>
          <w:tcPr>
            <w:tcW w:type="dxa" w:w="36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Tren y zona del árbol de planta</w:t>
            </w:r>
          </w:p>
        </w:tc>
        <w:tc>
          <w:tcPr>
            <w:tcW w:type="dxa" w:w="57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De ahí salen solos el ambiente, la criticidad, el intervalo preventivo y si se puede intervenir en marcha. Sin esto el equipo nace huérfano.</w:t>
            </w:r>
          </w:p>
        </w:tc>
      </w:tr>
      <w:tr>
        <w:tc>
          <w:tcPr>
            <w:tcW w:type="dxa" w:w="36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Objetivo de la cámara: detectar, observar, reconocer o identificar</w:t>
            </w:r>
          </w:p>
        </w:tc>
        <w:tc>
          <w:tcPr>
            <w:tcW w:type="dxa" w:w="57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IEC/EN 62676-4. Determina la óptica y la densidad de píxeles. Hoy esta discusión se tiene a ojo y se descubre el error cuando ya está montada.</w:t>
            </w:r>
          </w:p>
        </w:tc>
      </w:tr>
      <w:tr>
        <w:tc>
          <w:tcPr>
            <w:tcW w:type="dxa" w:w="36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Altura de montaje y medio de acceso</w:t>
            </w:r>
          </w:p>
        </w:tc>
        <w:tc>
          <w:tcPr>
            <w:tcW w:type="dxa" w:w="57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Desde 1,80 m es trabajo en altura: dispara PETAR, IPERC y personal acreditado. Y decide si Producción tiene que costear un manlift.</w:t>
            </w:r>
          </w:p>
        </w:tc>
      </w:tr>
      <w:tr>
        <w:tc>
          <w:tcPr>
            <w:tcW w:type="dxa" w:w="36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Grabador y canal asignado</w:t>
            </w:r>
          </w:p>
        </w:tc>
        <w:tc>
          <w:tcPr>
            <w:tcW w:type="dxa" w:w="57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 sistema ya sabe cuántos canales libres quedan. Instalar una cámara sin canal es subir para nada.</w:t>
            </w:r>
          </w:p>
        </w:tc>
      </w:tr>
      <w:tr>
        <w:tc>
          <w:tcPr>
            <w:tcW w:type="dxa" w:w="36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Tramo de cable previsto: metros y recorrido</w:t>
            </w:r>
          </w:p>
        </w:tc>
        <w:tc>
          <w:tcPr>
            <w:tcW w:type="dxa" w:w="57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Si pasa de 90 m, el sistema lo rechaza antes de comprar el cable, no después de tenderlo.</w:t>
            </w:r>
          </w:p>
        </w:tc>
      </w:tr>
      <w:tr>
        <w:tc>
          <w:tcPr>
            <w:tcW w:type="dxa" w:w="36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Alimentación: PoE o fuente local, y de qué tablero</w:t>
            </w:r>
          </w:p>
        </w:tc>
        <w:tc>
          <w:tcPr>
            <w:tcW w:type="dxa" w:w="57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Contesta «qué llave le corta la luz» desde el primer día, en vez de averiguarlo el día de la primera falla.</w:t>
            </w:r>
          </w:p>
        </w:tc>
      </w:tr>
    </w:tbl>
    <w:p>
      <w:pPr>
        <w:spacing w:after="200"/>
      </w:pPr>
    </w:p>
    <w:p>
      <w:pPr>
        <w:spacing w:after="120" w:line="276"/>
      </w:pPr>
      <w:r>
        <w:rPr>
          <w:rFonts w:ascii="Calibri" w:cs="Calibri" w:eastAsia="Calibri" w:hAnsi="Calibri"/>
          <w:b/>
          <w:bCs/>
          <w:color w:val="222222"/>
          <w:sz w:val="21"/>
          <w:szCs w:val="21"/>
        </w:rPr>
        <w:t xml:space="preserve">Lo que el módulo COMPRUEBA solo, antes de dejar continuar: </w:t>
      </w:r>
      <w:r>
        <w:rPr>
          <w:rFonts w:ascii="Calibri" w:cs="Calibri" w:eastAsia="Calibri" w:hAnsi="Calibri"/>
          <w:color w:val="222222"/>
          <w:sz w:val="21"/>
          <w:szCs w:val="21"/>
        </w:rPr>
        <w:t xml:space="preserve">que haya canal libre en el grabador, que el tramo no pase de 90 m, que la zona tenga declarada su intervenibilidad, y que si hay altura exista una solicitud de acceso aprobada. Cuatro comprobaciones que hoy se hacen de memoria o no se hacen.</w:t>
      </w:r>
    </w:p>
    <w:p>
      <w:pPr>
        <w:spacing w:after="240"/>
      </w:pPr>
    </w:p>
    <w:p>
      <w:pPr>
        <w:pStyle w:val="Heading2"/>
        <w:spacing w:after="120" w:before="300"/>
      </w:pPr>
      <w:r>
        <w:rPr>
          <w:rFonts w:ascii="Calibri" w:cs="Calibri" w:eastAsia="Calibri" w:hAnsi="Calibri"/>
          <w:b/>
          <w:bCs/>
          <w:color w:val="1F3864"/>
          <w:sz w:val="24"/>
          <w:szCs w:val="24"/>
        </w:rPr>
        <w:t xml:space="preserve">4.2 Módulo «Instalar» — el acta de campo</w:t>
      </w:r>
    </w:p>
    <w:p>
      <w:pPr>
        <w:spacing w:after="120" w:line="276"/>
      </w:pPr>
      <w:r>
        <w:rPr>
          <w:rFonts w:ascii="Calibri" w:cs="Calibri" w:eastAsia="Calibri" w:hAnsi="Calibri"/>
          <w:color w:val="222222"/>
          <w:sz w:val="21"/>
          <w:szCs w:val="21"/>
        </w:rPr>
        <w:t xml:space="preserve">Lo llena el técnico en el teléfono, arriba, con el equipo puesto. Es lo que convierte la instalación en un activo dado de alta y en un registro auditable.</w:t>
      </w:r>
    </w:p>
    <w:p>
      <w:pPr>
        <w:spacing w:after="120"/>
      </w:pP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3600"/>
        <w:gridCol w:w="5760"/>
      </w:tblGrid>
      <w:tr>
        <w:trPr>
          <w:tblHeader/>
        </w:trPr>
        <w:tc>
          <w:tcPr>
            <w:tcW w:type="dxa" w:w="36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Qué pide</w:t>
            </w:r>
          </w:p>
        </w:tc>
        <w:tc>
          <w:tcPr>
            <w:tcW w:type="dxa" w:w="576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Estándar que hace cumplir</w:t>
            </w:r>
          </w:p>
        </w:tc>
      </w:tr>
      <w:tr>
        <w:tc>
          <w:tcPr>
            <w:tcW w:type="dxa" w:w="36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COLOR DE CHAQUETA del cable usado, elegido de la lista de la planta</w:t>
            </w:r>
          </w:p>
        </w:tc>
        <w:tc>
          <w:tcPr>
            <w:tcW w:type="dxa" w:w="57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Estándar interno de color. Es el campo que faltaba: sin él, la coherencia de color depende de que cada técnico se acuerde.</w:t>
            </w:r>
          </w:p>
        </w:tc>
      </w:tr>
      <w:tr>
        <w:tc>
          <w:tcPr>
            <w:tcW w:type="dxa" w:w="36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Categoría del cable y metros REALES medidos</w:t>
            </w:r>
          </w:p>
        </w:tc>
        <w:tc>
          <w:tcPr>
            <w:tcW w:type="dxa" w:w="57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TIA-568. Se distingue lo medido de lo estimado a ojo, porque no valen lo mismo.</w:t>
            </w:r>
          </w:p>
        </w:tc>
      </w:tr>
      <w:tr>
        <w:tc>
          <w:tcPr>
            <w:tcW w:type="dxa" w:w="36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Rótulo colocado, con foto de la etiqueta</w:t>
            </w:r>
          </w:p>
        </w:tc>
        <w:tc>
          <w:tcPr>
            <w:tcW w:type="dxa" w:w="57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ANSI/TIA-606-C. La foto es la prueba: un rótulo declarado y no pegado es un rótulo que no existe.</w:t>
            </w:r>
          </w:p>
        </w:tc>
      </w:tr>
      <w:tr>
        <w:tc>
          <w:tcPr>
            <w:tcW w:type="dxa" w:w="36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N.º de PETAR y fecha, si hubo trabajo en altura</w:t>
            </w:r>
          </w:p>
        </w:tc>
        <w:tc>
          <w:tcPr>
            <w:tcW w:type="dxa" w:w="57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Ley 29783 y G.050. Sin este número no se puede cerrar la instalación.</w:t>
            </w:r>
          </w:p>
        </w:tc>
      </w:tr>
      <w:tr>
        <w:tc>
          <w:tcPr>
            <w:tcW w:type="dxa" w:w="36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Bloqueo eléctrico aplicado, con el circuito concreto</w:t>
            </w:r>
          </w:p>
        </w:tc>
        <w:tc>
          <w:tcPr>
            <w:tcW w:type="dxa" w:w="57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LOTO. Obligatorio si el equipo se montó dentro de un tablero.</w:t>
            </w:r>
          </w:p>
        </w:tc>
      </w:tr>
      <w:tr>
        <w:tc>
          <w:tcPr>
            <w:tcW w:type="dxa" w:w="36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Foto de A QUÉ APUNTA la cámara</w:t>
            </w:r>
          </w:p>
        </w:tc>
        <w:tc>
          <w:tcPr>
            <w:tcW w:type="dxa" w:w="57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IEC 62676-4 y, sobre todo, el panel del jefe de tren: un código de activo no le dice nada, la imagen sí.</w:t>
            </w:r>
          </w:p>
        </w:tc>
      </w:tr>
      <w:tr>
        <w:tc>
          <w:tcPr>
            <w:tcW w:type="dxa" w:w="36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IP asignada, verificada contra el IPAM</w:t>
            </w:r>
          </w:p>
        </w:tc>
        <w:tc>
          <w:tcPr>
            <w:tcW w:type="dxa" w:w="57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 sistema rechaza una IP ya usada en vez de dejar que se cree el conflicto.</w:t>
            </w:r>
          </w:p>
        </w:tc>
      </w:tr>
      <w:tr>
        <w:tc>
          <w:tcPr>
            <w:tcW w:type="dxa" w:w="36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Firma del técnico y del supervisor</w:t>
            </w:r>
          </w:p>
        </w:tc>
        <w:tc>
          <w:tcPr>
            <w:tcW w:type="dxa" w:w="57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Queda con nombre, fecha y equipo desde el que se registró.</w:t>
            </w:r>
          </w:p>
        </w:tc>
      </w:tr>
    </w:tbl>
    <w:p>
      <w:pPr>
        <w:spacing w:after="200"/>
      </w:pPr>
    </w:p>
    <w:p>
      <w:pPr>
        <w:spacing w:after="120" w:line="276"/>
      </w:pPr>
      <w:r>
        <w:rPr>
          <w:rFonts w:ascii="Calibri" w:cs="Calibri" w:eastAsia="Calibri" w:hAnsi="Calibri"/>
          <w:b/>
          <w:bCs/>
          <w:color w:val="222222"/>
          <w:sz w:val="21"/>
          <w:szCs w:val="21"/>
        </w:rPr>
        <w:t xml:space="preserve">El resultado: </w:t>
      </w:r>
      <w:r>
        <w:rPr>
          <w:rFonts w:ascii="Calibri" w:cs="Calibri" w:eastAsia="Calibri" w:hAnsi="Calibri"/>
          <w:color w:val="222222"/>
          <w:sz w:val="21"/>
          <w:szCs w:val="21"/>
        </w:rPr>
        <w:t xml:space="preserve">al firmar, el activo se da de alta con su ficha ya completa, su rótulo validado, su tramo de cable registrado, su canal ocupado en el grabador y su historial abierto. Hoy todo eso se carga después, a mano, y por eso hay activos con la ficha al 30 %.</w:t>
      </w:r>
    </w:p>
    <w:p>
      <w:pPr>
        <w:spacing w:after="240"/>
      </w:pPr>
    </w:p>
    <w:tbl>
      <w:tblPr>
        <w:tblW w:type="dxa" w:w="9360"/>
        <w:tblBorders>
          <w:top w:val="none" w:color="FFFFFF" w:sz="0"/>
          <w:left w:val="single" w:color="B22222" w:sz="18"/>
          <w:bottom w:val="none" w:color="FFFFFF" w:sz="0"/>
          <w:right w:val="none" w:color="FFFFFF" w:sz="0"/>
          <w:insideH w:val="none" w:color="FFFFFF" w:sz="0"/>
          <w:insideV w:val="none" w:color="FFFFFF" w:sz="0"/>
        </w:tblBorders>
      </w:tblPr>
      <w:tblGrid>
        <w:gridCol w:w="9360"/>
      </w:tblGrid>
      <w:tr>
        <w:tc>
          <w:tcPr>
            <w:tcW w:type="dxa" w:w="936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B22222"/>
                <w:sz w:val="21"/>
                <w:szCs w:val="21"/>
              </w:rPr>
              <w:t xml:space="preserve">La regla que estos dos módulos NO deben romper</w:t>
            </w:r>
          </w:p>
          <w:p>
            <w:pPr>
              <w:spacing w:before="60" w:line="276"/>
            </w:pPr>
            <w:r>
              <w:rPr>
                <w:rFonts w:ascii="Calibri" w:cs="Calibri" w:eastAsia="Calibri" w:hAnsi="Calibri"/>
                <w:sz w:val="20"/>
                <w:szCs w:val="20"/>
              </w:rPr>
              <w:t xml:space="preserve">Sigue valiendo que la ficha incompleta se permita y se marque. Si el formulario de instalación se vuelve tan exigente que el técnico no puede guardar, inventará datos para poder cerrar — y un dato inventado es peor que un hueco. La diferencia está en QUÉ se exige: lo que sólo se sabe estando arriba (color, metros, PETAR, foto) es obligatorio; lo que se puede completar en la oficina, no.</w:t>
            </w:r>
          </w:p>
        </w:tc>
      </w:tr>
    </w:tbl>
    <w:p>
      <w:r>
        <w:br w:type="page"/>
      </w:r>
    </w:p>
    <w:p>
      <w:pPr>
        <w:pStyle w:val="Heading1"/>
        <w:spacing w:after="160" w:before="360"/>
      </w:pPr>
      <w:r>
        <w:rPr>
          <w:rFonts w:ascii="Calibri" w:cs="Calibri" w:eastAsia="Calibri" w:hAnsi="Calibri"/>
          <w:b/>
          <w:bCs/>
          <w:color w:val="1F3864"/>
          <w:sz w:val="30"/>
          <w:szCs w:val="30"/>
        </w:rPr>
        <w:t xml:space="preserve">5. El software hoy: a favor y en contra, sin adornos</w:t>
      </w:r>
    </w:p>
    <w:p>
      <w:pPr>
        <w:pStyle w:val="Heading2"/>
        <w:spacing w:after="120" w:before="300"/>
      </w:pPr>
      <w:r>
        <w:rPr>
          <w:rFonts w:ascii="Calibri" w:cs="Calibri" w:eastAsia="Calibri" w:hAnsi="Calibri"/>
          <w:b/>
          <w:bCs/>
          <w:color w:val="1F3864"/>
          <w:sz w:val="24"/>
          <w:szCs w:val="24"/>
        </w:rPr>
        <w:t xml:space="preserve">5.1 Lo que está sólido</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900"/>
        <w:gridCol w:w="6460"/>
      </w:tblGrid>
      <w:tr>
        <w:trPr>
          <w:tblHeader/>
        </w:trPr>
        <w:tc>
          <w:tcPr>
            <w:tcW w:type="dxa" w:w="29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Fortaleza</w:t>
            </w:r>
          </w:p>
        </w:tc>
        <w:tc>
          <w:tcPr>
            <w:tcW w:type="dxa" w:w="646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Por qué cuenta</w:t>
            </w:r>
          </w:p>
        </w:tc>
      </w:tr>
      <w:tr>
        <w:tc>
          <w:tcPr>
            <w:tcW w:type="dxa" w:w="29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Los datos derivados no se guardan</w:t>
            </w:r>
          </w:p>
        </w:tc>
        <w:tc>
          <w:tcPr>
            <w:tcW w:type="dxa" w:w="64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Tren, etapa, ambiente, criticidad, intervalo e intervenibilidad se calculan del árbol. No pueden desincronizarse, que es de lo que muere el 90 % de los sistemas de inventario.</w:t>
            </w:r>
          </w:p>
        </w:tc>
      </w:tr>
      <w:tr>
        <w:tc>
          <w:tcPr>
            <w:tcW w:type="dxa" w:w="29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«Sin datos, nunca cero»</w:t>
            </w:r>
          </w:p>
        </w:tc>
        <w:tc>
          <w:tcPr>
            <w:tcW w:type="dxa" w:w="64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Un equipo sin ficha sale en gris, no en verde. Un tablero que tranquiliza por estar vacío se enseña una vez y no se vuelve a mirar.</w:t>
            </w:r>
          </w:p>
        </w:tc>
      </w:tr>
      <w:tr>
        <w:tc>
          <w:tcPr>
            <w:tcW w:type="dxa" w:w="29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La propuesta no autoriza; sólo la firma</w:t>
            </w:r>
          </w:p>
        </w:tc>
        <w:tc>
          <w:tcPr>
            <w:tcW w:type="dxa" w:w="64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Sin firma de intervenibilidad se exige parada. Falla hacia el lado seguro: un error hace esperar a alguien, nunca lo manda a una zona caliente.</w:t>
            </w:r>
          </w:p>
        </w:tc>
      </w:tr>
      <w:tr>
        <w:tc>
          <w:tcPr>
            <w:tcW w:type="dxa" w:w="29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Acceso por permisos, jamás por nombre de rol</w:t>
            </w:r>
          </w:p>
        </w:tc>
        <w:tc>
          <w:tcPr>
            <w:tcW w:type="dxa" w:w="64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Renombrar un rol no rompe nada. Hay un verificador que falla si alguien escribe un nombre de rol en el código.</w:t>
            </w:r>
          </w:p>
        </w:tc>
      </w:tr>
      <w:tr>
        <w:tc>
          <w:tcPr>
            <w:tcW w:type="dxa" w:w="29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Concurrencia probada de verdad</w:t>
            </w:r>
          </w:p>
        </w:tc>
        <w:tc>
          <w:tcPr>
            <w:tcW w:type="dxa" w:w="64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100 órdenes creadas a la vez contra PostgreSQL real: todas únicas, cero fallos. Almacén atómico con el saldo cuadrando.</w:t>
            </w:r>
          </w:p>
        </w:tc>
      </w:tr>
      <w:tr>
        <w:tc>
          <w:tcPr>
            <w:tcW w:type="dxa" w:w="29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14 verificadores nacidos de fallos reales</w:t>
            </w:r>
          </w:p>
        </w:tc>
        <w:tc>
          <w:tcPr>
            <w:tcW w:type="dxa" w:w="64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Cazan la clase de error que ni el compilador ni las pruebas ven: inyección, filtros, migraciones, roles, foco, densidad, fechas.</w:t>
            </w:r>
          </w:p>
        </w:tc>
      </w:tr>
      <w:tr>
        <w:tc>
          <w:tcPr>
            <w:tcW w:type="dxa" w:w="29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745 pruebas y despliegue reproducible</w:t>
            </w:r>
          </w:p>
        </w:tc>
        <w:tc>
          <w:tcPr>
            <w:tcW w:type="dxa" w:w="64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Las 38 migraciones aplican limpias sobre base vacía. Se ensayó antes de tocar producción.</w:t>
            </w:r>
          </w:p>
        </w:tc>
      </w:tr>
    </w:tbl>
    <w:p>
      <w:pPr>
        <w:spacing w:after="240"/>
      </w:pPr>
    </w:p>
    <w:p>
      <w:pPr>
        <w:pStyle w:val="Heading2"/>
        <w:spacing w:after="120" w:before="300"/>
      </w:pPr>
      <w:r>
        <w:rPr>
          <w:rFonts w:ascii="Calibri" w:cs="Calibri" w:eastAsia="Calibri" w:hAnsi="Calibri"/>
          <w:b/>
          <w:bCs/>
          <w:color w:val="1F3864"/>
          <w:sz w:val="24"/>
          <w:szCs w:val="24"/>
        </w:rPr>
        <w:t xml:space="preserve">5.2 Lo que está flojo, y duele</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900"/>
        <w:gridCol w:w="6460"/>
      </w:tblGrid>
      <w:tr>
        <w:trPr>
          <w:tblHeader/>
        </w:trPr>
        <w:tc>
          <w:tcPr>
            <w:tcW w:type="dxa" w:w="29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Debilidad</w:t>
            </w:r>
          </w:p>
        </w:tc>
        <w:tc>
          <w:tcPr>
            <w:tcW w:type="dxa" w:w="646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Consecuencia real</w:t>
            </w:r>
          </w:p>
        </w:tc>
      </w:tr>
      <w:tr>
        <w:tc>
          <w:tcPr>
            <w:tcW w:type="dxa" w:w="29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Nada compara el código contra la base VIVA</w:t>
            </w:r>
          </w:p>
        </w:tc>
        <w:tc>
          <w:tcPr>
            <w:tcW w:type="dxa" w:w="64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 Jefe de Mantenimiento estuvo semanas sin poder abrir Roles y nadie se enteró. Un permiso que falta no da error.</w:t>
            </w:r>
          </w:p>
        </w:tc>
      </w:tr>
      <w:tr>
        <w:tc>
          <w:tcPr>
            <w:tcW w:type="dxa" w:w="29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Nada comprueba que la aplicación arranque</w:t>
            </w:r>
          </w:p>
        </w:tc>
        <w:tc>
          <w:tcPr>
            <w:tcW w:type="dxa" w:w="64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Ya tumbó producción una vez: una dependencia no declarada que compila y pasa las pruebas.</w:t>
            </w:r>
          </w:p>
        </w:tc>
      </w:tr>
      <w:tr>
        <w:tc>
          <w:tcPr>
            <w:tcW w:type="dxa" w:w="29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Nada avisa si el sistema se cae</w:t>
            </w:r>
          </w:p>
        </w:tc>
        <w:tc>
          <w:tcPr>
            <w:tcW w:type="dxa" w:w="64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Si el backend muere de madrugada, se sabe cuando alguien no pueda entrar.</w:t>
            </w:r>
          </w:p>
        </w:tc>
      </w:tr>
      <w:tr>
        <w:tc>
          <w:tcPr>
            <w:tcW w:type="dxa" w:w="29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 respaldo nunca se ha restaurado</w:t>
            </w:r>
          </w:p>
        </w:tc>
        <w:tc>
          <w:tcPr>
            <w:tcW w:type="dxa" w:w="64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Hay copia diaria y cero certeza de que sirva. El día que haga falta no es el día de averiguarlo.</w:t>
            </w:r>
          </w:p>
        </w:tc>
      </w:tr>
      <w:tr>
        <w:tc>
          <w:tcPr>
            <w:tcW w:type="dxa" w:w="29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 patrón de rotulado está escrito en el código</w:t>
            </w:r>
          </w:p>
        </w:tc>
        <w:tc>
          <w:tcPr>
            <w:tcW w:type="dxa" w:w="64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Cambiar el prefijo o el orden de los segmentos exige un programador. Es la última excepción a la regla de «todo editable».</w:t>
            </w:r>
          </w:p>
        </w:tc>
      </w:tr>
      <w:tr>
        <w:tc>
          <w:tcPr>
            <w:tcW w:type="dxa" w:w="29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Cuatro módulos montados y apagados</w:t>
            </w:r>
          </w:p>
        </w:tc>
        <w:tc>
          <w:tcPr>
            <w:tcW w:type="dxa" w:w="64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Monitoreo, Notificaciones, Integración y parte de Predictivo. Hay que mantenerlos igual sin que aporten nada todavía.</w:t>
            </w:r>
          </w:p>
        </w:tc>
      </w:tr>
      <w:tr>
        <w:tc>
          <w:tcPr>
            <w:tcW w:type="dxa" w:w="29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47 de 53 servicios sin pruebas propias</w:t>
            </w:r>
          </w:p>
        </w:tc>
        <w:tc>
          <w:tcPr>
            <w:tcW w:type="dxa" w:w="64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Las pruebas cubren muy bien la lógica pura y muy poco los servicios grandes, como el de órdenes con sus 900 líneas.</w:t>
            </w:r>
          </w:p>
        </w:tc>
      </w:tr>
      <w:tr>
        <w:tc>
          <w:tcPr>
            <w:tcW w:type="dxa" w:w="29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27 claves foráneas sin índice</w:t>
            </w:r>
          </w:p>
        </w:tc>
        <w:tc>
          <w:tcPr>
            <w:tcW w:type="dxa" w:w="64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Con 30 activos no se nota. Con 300 y meses de auditoría, sí.</w:t>
            </w:r>
          </w:p>
        </w:tc>
      </w:tr>
      <w:tr>
        <w:tc>
          <w:tcPr>
            <w:tcW w:type="dxa" w:w="29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40 de 45 pantallas sin el patrón de legibilidad</w:t>
            </w:r>
          </w:p>
        </w:tc>
        <w:tc>
          <w:tcPr>
            <w:tcW w:type="dxa" w:w="64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Están medidas y con trinquete —no pueden empeorar— pero Activos sigue con 12 columnas y 28 campos.</w:t>
            </w:r>
          </w:p>
        </w:tc>
      </w:tr>
      <w:tr>
        <w:tc>
          <w:tcPr>
            <w:tcW w:type="dxa" w:w="29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 sistema nunca vio datos reales de planta</w:t>
            </w:r>
          </w:p>
        </w:tc>
        <w:tc>
          <w:tcPr>
            <w:tcW w:type="dxa" w:w="64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Todo lo probado son datos inventados, y los inventados son limpios. Es el riesgo que nadie ha medido.</w:t>
            </w:r>
          </w:p>
        </w:tc>
      </w:tr>
    </w:tbl>
    <w:p>
      <w:r>
        <w:br w:type="page"/>
      </w:r>
    </w:p>
    <w:p>
      <w:pPr>
        <w:pStyle w:val="Heading1"/>
        <w:spacing w:after="160" w:before="360"/>
      </w:pPr>
      <w:r>
        <w:rPr>
          <w:rFonts w:ascii="Calibri" w:cs="Calibri" w:eastAsia="Calibri" w:hAnsi="Calibri"/>
          <w:b/>
          <w:bCs/>
          <w:color w:val="1F3864"/>
          <w:sz w:val="30"/>
          <w:szCs w:val="30"/>
        </w:rPr>
        <w:t xml:space="preserve">6. Lo comprometido: el autochequeo al arrancar</w:t>
      </w:r>
    </w:p>
    <w:p>
      <w:pPr>
        <w:spacing w:after="120" w:line="276"/>
      </w:pPr>
      <w:r>
        <w:rPr>
          <w:rFonts w:ascii="Calibri" w:cs="Calibri" w:eastAsia="Calibri" w:hAnsi="Calibri"/>
          <w:color w:val="222222"/>
          <w:sz w:val="21"/>
          <w:szCs w:val="21"/>
        </w:rPr>
        <w:t xml:space="preserve">La clase de fallo que más ha costado en este proyecto no da error: da números o pantallas que parecen correctas. Todos tienen la misma forma — dos sitios que deben decir lo mismo y nada los obliga.</w:t>
      </w:r>
    </w:p>
    <w:p>
      <w:pPr>
        <w:spacing w:after="200"/>
      </w:pP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600"/>
        <w:gridCol w:w="6760"/>
      </w:tblGrid>
      <w:tr>
        <w:trPr>
          <w:tblHeader/>
        </w:trPr>
        <w:tc>
          <w:tcPr>
            <w:tcW w:type="dxa" w:w="26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El fallo</w:t>
            </w:r>
          </w:p>
        </w:tc>
        <w:tc>
          <w:tcPr>
            <w:tcW w:type="dxa" w:w="676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Cómo se manifestó</w:t>
            </w:r>
          </w:p>
        </w:tc>
      </w:tr>
      <w:tr>
        <w:tc>
          <w:tcPr>
            <w:tcW w:type="dxa" w:w="26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La semilla y la base viva</w:t>
            </w:r>
          </w:p>
        </w:tc>
        <w:tc>
          <w:tcPr>
            <w:tcW w:type="dxa" w:w="67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 Jefe de Mantenimiento perdió el permiso de gestionar roles y nadie se enteró: un permiso que falta no da error, sólo desaparece el menú.</w:t>
            </w:r>
          </w:p>
        </w:tc>
      </w:tr>
      <w:tr>
        <w:tc>
          <w:tcPr>
            <w:tcW w:type="dxa" w:w="26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 rótulo y el ámbito</w:t>
            </w:r>
          </w:p>
        </w:tc>
        <w:tc>
          <w:tcPr>
            <w:tcW w:type="dxa" w:w="67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Dos formas distintas de sacar «qué tren es» del mismo campo.</w:t>
            </w:r>
          </w:p>
        </w:tc>
      </w:tr>
      <w:tr>
        <w:tc>
          <w:tcPr>
            <w:tcW w:type="dxa" w:w="26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 diálogo de Usuarios y el árbol</w:t>
            </w:r>
          </w:p>
        </w:tc>
        <w:tc>
          <w:tcPr>
            <w:tcW w:type="dxa" w:w="67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«T1» contra «AASA-PISCO-T1». Nunca se pudo guardar un ámbito.</w:t>
            </w:r>
          </w:p>
        </w:tc>
      </w:tr>
      <w:tr>
        <w:tc>
          <w:tcPr>
            <w:tcW w:type="dxa" w:w="26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 esquema y el SQL</w:t>
            </w:r>
          </w:p>
        </w:tc>
        <w:tc>
          <w:tcPr>
            <w:tcW w:type="dxa" w:w="67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Un índice sin declarar generó una migración que lo borraba, con fecha en medio del historial. Habría tumbado el despliegue.</w:t>
            </w:r>
          </w:p>
        </w:tc>
      </w:tr>
      <w:tr>
        <w:tc>
          <w:tcPr>
            <w:tcW w:type="dxa" w:w="26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Tres definiciones de «está bien»</w:t>
            </w:r>
          </w:p>
        </w:tc>
        <w:tc>
          <w:tcPr>
            <w:tcW w:type="dxa" w:w="67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«2 de 6 equipos funcionando con normalidad (100 %)» en la pantalla de un jefe de línea.</w:t>
            </w:r>
          </w:p>
        </w:tc>
      </w:tr>
      <w:tr>
        <w:tc>
          <w:tcPr>
            <w:tcW w:type="dxa" w:w="26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El Dockerfile y los scripts</w:t>
            </w:r>
          </w:p>
        </w:tc>
        <w:tc>
          <w:tcPr>
            <w:tcW w:type="dxa" w:w="67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MODULE_NOT_FOUND al pedir el diagnóstico en producción, justo cuando hacía falta.</w:t>
            </w:r>
          </w:p>
        </w:tc>
      </w:tr>
    </w:tbl>
    <w:p>
      <w:pPr>
        <w:spacing w:after="240"/>
      </w:pPr>
    </w:p>
    <w:p>
      <w:pPr>
        <w:pStyle w:val="Heading2"/>
        <w:spacing w:after="120" w:before="300"/>
      </w:pPr>
      <w:r>
        <w:rPr>
          <w:rFonts w:ascii="Calibri" w:cs="Calibri" w:eastAsia="Calibri" w:hAnsi="Calibri"/>
          <w:b/>
          <w:bCs/>
          <w:color w:val="1F3864"/>
          <w:sz w:val="24"/>
          <w:szCs w:val="24"/>
        </w:rPr>
        <w:t xml:space="preserve">Qué se va a construir</w:t>
      </w:r>
    </w:p>
    <w:p>
      <w:pPr>
        <w:spacing w:after="120" w:line="276"/>
      </w:pPr>
      <w:r>
        <w:rPr>
          <w:rFonts w:ascii="Calibri" w:cs="Calibri" w:eastAsia="Calibri" w:hAnsi="Calibri"/>
          <w:b/>
          <w:bCs/>
          <w:color w:val="222222"/>
          <w:sz w:val="21"/>
          <w:szCs w:val="21"/>
        </w:rPr>
        <w:t xml:space="preserve">Un autochequeo en el arranque. </w:t>
      </w:r>
      <w:r>
        <w:rPr>
          <w:rFonts w:ascii="Calibri" w:cs="Calibri" w:eastAsia="Calibri" w:hAnsi="Calibri"/>
          <w:color w:val="222222"/>
          <w:sz w:val="21"/>
          <w:szCs w:val="21"/>
        </w:rPr>
        <w:t xml:space="preserve">Al levantar, el backend compara lo que el código espera contra lo que la base tiene: permisos que faltan, roles sectorizados sin usuarios con tren, el rol administrador sin sus llaves, y trenes sin sigla declarada. Lo escribe en el registro con un error bien visible.</w:t>
      </w:r>
    </w:p>
    <w:p>
      <w:pPr>
        <w:spacing w:after="120" w:line="276"/>
      </w:pPr>
      <w:r>
        <w:rPr>
          <w:rFonts w:ascii="Calibri" w:cs="Calibri" w:eastAsia="Calibri" w:hAnsi="Calibri"/>
          <w:b/>
          <w:bCs/>
          <w:color w:val="222222"/>
          <w:sz w:val="21"/>
          <w:szCs w:val="21"/>
        </w:rPr>
        <w:t xml:space="preserve">No bloquea el arranque: AVISA. </w:t>
      </w:r>
      <w:r>
        <w:rPr>
          <w:rFonts w:ascii="Calibri" w:cs="Calibri" w:eastAsia="Calibri" w:hAnsi="Calibri"/>
          <w:color w:val="222222"/>
          <w:sz w:val="21"/>
          <w:szCs w:val="21"/>
        </w:rPr>
        <w:t xml:space="preserve">Convierte los seis fallos de arriba en algo que se ve solo, en producción, sin que nadie tenga que acordarse de ejecutar nada. Ése es el punto: un control que depende de la memoria no es un control.</w:t>
      </w:r>
    </w:p>
    <w:p>
      <w:pPr>
        <w:spacing w:after="240"/>
      </w:pPr>
    </w:p>
    <w:p>
      <w:pPr>
        <w:pStyle w:val="Heading2"/>
        <w:spacing w:after="120" w:before="300"/>
      </w:pPr>
      <w:r>
        <w:rPr>
          <w:rFonts w:ascii="Calibri" w:cs="Calibri" w:eastAsia="Calibri" w:hAnsi="Calibri"/>
          <w:b/>
          <w:bCs/>
          <w:color w:val="1F3864"/>
          <w:sz w:val="24"/>
          <w:szCs w:val="24"/>
        </w:rPr>
        <w:t xml:space="preserve">Y después, por orden</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600"/>
        <w:gridCol w:w="5060"/>
        <w:gridCol w:w="1700"/>
      </w:tblGrid>
      <w:tr>
        <w:trPr>
          <w:tblHeader/>
        </w:trPr>
        <w:tc>
          <w:tcPr>
            <w:tcW w:type="dxa" w:w="26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Qué</w:t>
            </w:r>
          </w:p>
        </w:tc>
        <w:tc>
          <w:tcPr>
            <w:tcW w:type="dxa" w:w="506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Por qué</w:t>
            </w:r>
          </w:p>
        </w:tc>
        <w:tc>
          <w:tcPr>
            <w:tcW w:type="dxa" w:w="1700"/>
            <w:shd w:fill="1F3864" w:color="auto" w:val="clear"/>
            <w:tcMar>
              <w:top w:type="dxa" w:w="90"/>
              <w:left w:type="dxa" w:w="130"/>
              <w:bottom w:type="dxa" w:w="90"/>
              <w:right w:type="dxa" w:w="130"/>
            </w:tcMar>
            <w:vAlign w:val="top"/>
          </w:tcPr>
          <w:p>
            <w:pPr>
              <w:spacing w:after="0" w:line="264"/>
            </w:pPr>
            <w:r>
              <w:rPr>
                <w:rFonts w:ascii="Calibri" w:cs="Calibri" w:eastAsia="Calibri" w:hAnsi="Calibri"/>
                <w:b/>
                <w:bCs/>
                <w:color w:val="FFFFFF"/>
                <w:sz w:val="19"/>
                <w:szCs w:val="19"/>
              </w:rPr>
              <w:t xml:space="preserve">Quién</w:t>
            </w:r>
          </w:p>
        </w:tc>
      </w:tr>
      <w:tr>
        <w:tc>
          <w:tcPr>
            <w:tcW w:type="dxa" w:w="26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Prueba de arranque en integración continua</w:t>
            </w:r>
          </w:p>
        </w:tc>
        <w:tc>
          <w:tcPr>
            <w:tcW w:type="dxa" w:w="50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Es el único fallo que ya tumbó producción una vez: una dependencia no declarada que compila, pasa las pruebas y revienta al levantar.</w:t>
            </w:r>
          </w:p>
        </w:tc>
        <w:tc>
          <w:tcPr>
            <w:tcW w:type="dxa" w:w="17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Desarrollo</w:t>
            </w:r>
          </w:p>
        </w:tc>
      </w:tr>
      <w:tr>
        <w:tc>
          <w:tcPr>
            <w:tcW w:type="dxa" w:w="26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Ensayar una restauración de respaldo</w:t>
            </w:r>
          </w:p>
        </w:tc>
        <w:tc>
          <w:tcPr>
            <w:tcW w:type="dxa" w:w="50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Hay respaldo diario y NUNCA se ha restaurado ninguno. Hay que probarlo con la base todavía limpia.</w:t>
            </w:r>
          </w:p>
        </w:tc>
        <w:tc>
          <w:tcPr>
            <w:tcW w:type="dxa" w:w="17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TI</w:t>
            </w:r>
          </w:p>
        </w:tc>
      </w:tr>
      <w:tr>
        <w:tc>
          <w:tcPr>
            <w:tcW w:type="dxa" w:w="26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Instalar el agente de monitoreo</w:t>
            </w:r>
          </w:p>
        </w:tc>
        <w:tc>
          <w:tcPr>
            <w:tcW w:type="dxa" w:w="50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Desbloquea la hora de caída real, y con ella la mitad de «Mis cámaras» y el MTTR de verdad.</w:t>
            </w:r>
          </w:p>
        </w:tc>
        <w:tc>
          <w:tcPr>
            <w:tcW w:type="dxa" w:w="17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TI</w:t>
            </w:r>
          </w:p>
        </w:tc>
      </w:tr>
      <w:tr>
        <w:tc>
          <w:tcPr>
            <w:tcW w:type="dxa" w:w="26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Declarar 2 o 3 zonas vitales</w:t>
            </w:r>
          </w:p>
        </w:tc>
        <w:tc>
          <w:tcPr>
            <w:tcW w:type="dxa" w:w="50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Desbloquea Mi cobertura, Riesgo y toda la priorización. Media hora de reunión.</w:t>
            </w:r>
          </w:p>
        </w:tc>
        <w:tc>
          <w:tcPr>
            <w:tcW w:type="dxa" w:w="17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Producción</w:t>
            </w:r>
          </w:p>
        </w:tc>
      </w:tr>
      <w:tr>
        <w:tc>
          <w:tcPr>
            <w:tcW w:type="dxa" w:w="26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Vaciar los datos de ejemplo</w:t>
            </w:r>
          </w:p>
        </w:tc>
        <w:tc>
          <w:tcPr>
            <w:tcW w:type="dxa" w:w="506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La semilla plantó activos e incidencias de muestra en Pisco. Deben irse antes de cargar datos reales o quedarán mezclados.</w:t>
            </w:r>
          </w:p>
        </w:tc>
        <w:tc>
          <w:tcPr>
            <w:tcW w:type="dxa" w:w="1700"/>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Administración</w:t>
            </w:r>
          </w:p>
        </w:tc>
      </w:tr>
      <w:tr>
        <w:tc>
          <w:tcPr>
            <w:tcW w:type="dxa" w:w="26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Cargar 20 o 30 activos reales</w:t>
            </w:r>
          </w:p>
        </w:tc>
        <w:tc>
          <w:tcPr>
            <w:tcW w:type="dxa" w:w="506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Todo lo probado hasta hoy son datos inventados, y los inventados son limpios.</w:t>
            </w:r>
          </w:p>
        </w:tc>
        <w:tc>
          <w:tcPr>
            <w:tcW w:type="dxa" w:w="1700"/>
            <w:shd w:fill="F2F4F7" w:color="auto" w:val="clear"/>
            <w:tcMar>
              <w:top w:type="dxa" w:w="90"/>
              <w:left w:type="dxa" w:w="130"/>
              <w:bottom w:type="dxa" w:w="90"/>
              <w:right w:type="dxa" w:w="130"/>
            </w:tcMar>
            <w:vAlign w:val="top"/>
          </w:tcPr>
          <w:p>
            <w:pPr>
              <w:spacing w:after="0" w:line="264"/>
            </w:pPr>
            <w:r>
              <w:rPr>
                <w:rFonts w:ascii="Calibri" w:cs="Calibri" w:eastAsia="Calibri" w:hAnsi="Calibri"/>
                <w:color w:val="222222"/>
                <w:sz w:val="19"/>
                <w:szCs w:val="19"/>
              </w:rPr>
              <w:t xml:space="preserve">Ingeniería</w:t>
            </w:r>
          </w:p>
        </w:tc>
      </w:tr>
    </w:tbl>
    <w:p>
      <w:pPr>
        <w:spacing w:after="240"/>
      </w:pPr>
    </w:p>
    <w:tbl>
      <w:tblPr>
        <w:tblW w:type="dxa" w:w="9360"/>
        <w:tblBorders>
          <w:top w:val="none" w:color="FFFFFF" w:sz="0"/>
          <w:left w:val="single" w:color="1F3864" w:sz="18"/>
          <w:bottom w:val="none" w:color="FFFFFF" w:sz="0"/>
          <w:right w:val="none" w:color="FFFFFF" w:sz="0"/>
          <w:insideH w:val="none" w:color="FFFFFF" w:sz="0"/>
          <w:insideV w:val="none" w:color="FFFFFF" w:sz="0"/>
        </w:tblBorders>
      </w:tblPr>
      <w:tblGrid>
        <w:gridCol w:w="9360"/>
      </w:tblGrid>
      <w:tr>
        <w:tc>
          <w:tcPr>
            <w:tcW w:type="dxa" w:w="9360"/>
            <w:shd w:fill="F2F4F7" w:color="auto" w:val="clear"/>
            <w:tcMar>
              <w:top w:type="dxa" w:w="90"/>
              <w:left w:type="dxa" w:w="130"/>
              <w:bottom w:type="dxa" w:w="90"/>
              <w:right w:type="dxa" w:w="130"/>
            </w:tcMar>
            <w:vAlign w:val="top"/>
          </w:tcPr>
          <w:p>
            <w:pPr>
              <w:spacing w:after="0" w:line="264"/>
            </w:pPr>
            <w:r>
              <w:rPr>
                <w:rFonts w:ascii="Calibri" w:cs="Calibri" w:eastAsia="Calibri" w:hAnsi="Calibri"/>
                <w:b/>
                <w:bCs/>
                <w:color w:val="1F3864"/>
                <w:sz w:val="21"/>
                <w:szCs w:val="21"/>
              </w:rPr>
              <w:t xml:space="preserve">La conclusión</w:t>
            </w:r>
          </w:p>
          <w:p>
            <w:pPr>
              <w:spacing w:before="60" w:line="276"/>
            </w:pPr>
            <w:r>
              <w:rPr>
                <w:rFonts w:ascii="Calibri" w:cs="Calibri" w:eastAsia="Calibri" w:hAnsi="Calibri"/>
                <w:sz w:val="20"/>
                <w:szCs w:val="20"/>
              </w:rPr>
              <w:t xml:space="preserve">El software está desplegado y funcionando. Lo que separa «funciona» de «se puede confiar en él» no es más código: es el agente de monitoreo, las zonas vitales, una restauración ensayada y una tarde de datos reales. Y en el terreno de las normas, el salto pendiente es dejar de documentarlas para empezar a exigirlas: PETAR obligatorio para cerrar una orden en altura, bloqueo eléctrico registrado, y el patrón de rotulado editable desde la interfaz.</w:t>
            </w:r>
          </w:p>
        </w:tc>
      </w:tr>
    </w:tbl>
    <w:p>
      <w:pPr>
        <w:spacing w:after="300"/>
      </w:pPr>
    </w:p>
    <w:p>
      <w:pPr>
        <w:pStyle w:val="Heading1"/>
        <w:spacing w:after="160" w:before="360"/>
      </w:pPr>
      <w:r>
        <w:rPr>
          <w:rFonts w:ascii="Calibri" w:cs="Calibri" w:eastAsia="Calibri" w:hAnsi="Calibri"/>
          <w:b/>
          <w:bCs/>
          <w:color w:val="1F3864"/>
          <w:sz w:val="30"/>
          <w:szCs w:val="30"/>
        </w:rPr>
        <w:t xml:space="preserve">7. Fuentes consultadas</w:t>
      </w:r>
    </w:p>
    <w:p>
      <w:pPr>
        <w:spacing w:after="120" w:line="276"/>
      </w:pPr>
      <w:r>
        <w:rPr>
          <w:rFonts w:ascii="Calibri" w:cs="Calibri" w:eastAsia="Calibri" w:hAnsi="Calibri"/>
          <w:color w:val="222222"/>
          <w:sz w:val="21"/>
          <w:szCs w:val="21"/>
        </w:rPr>
        <w:t xml:space="preserve">Las normas citadas se verificaron en agosto de 2026 en las siguientes fuentes:</w:t>
      </w:r>
    </w:p>
    <w:p>
      <w:pPr>
        <w:pStyle w:val="ListParagraph"/>
        <w:numPr>
          <w:ilvl w:val="0"/>
          <w:numId w:val="2"/>
        </w:numPr>
        <w:spacing w:after="80" w:line="276"/>
      </w:pPr>
      <w:r>
        <w:rPr>
          <w:rFonts w:ascii="Calibri" w:cs="Calibri" w:eastAsia="Calibri" w:hAnsi="Calibri"/>
          <w:sz w:val="21"/>
          <w:szCs w:val="21"/>
        </w:rPr>
        <w:t xml:space="preserve">Ley 29783 de Seguridad y Salud en el Trabajo y norma G.050 (Perú) — umbral de 1,80 m, IPERC, PETAR y ATS.</w:t>
      </w:r>
    </w:p>
    <w:p>
      <w:pPr>
        <w:pStyle w:val="ListParagraph"/>
        <w:numPr>
          <w:ilvl w:val="0"/>
          <w:numId w:val="2"/>
        </w:numPr>
        <w:spacing w:after="80" w:line="276"/>
      </w:pPr>
      <w:r>
        <w:rPr>
          <w:rFonts w:ascii="Calibri" w:cs="Calibri" w:eastAsia="Calibri" w:hAnsi="Calibri"/>
          <w:sz w:val="21"/>
          <w:szCs w:val="21"/>
        </w:rPr>
        <w:t xml:space="preserve">ANSI/TIA-606-C — Telecommunications Infrastructure Administration Standard, publicado por ANSI y TIA en julio de 2017.</w:t>
      </w:r>
    </w:p>
    <w:p>
      <w:pPr>
        <w:pStyle w:val="ListParagraph"/>
        <w:numPr>
          <w:ilvl w:val="0"/>
          <w:numId w:val="2"/>
        </w:numPr>
        <w:spacing w:after="80" w:line="276"/>
      </w:pPr>
      <w:r>
        <w:rPr>
          <w:rFonts w:ascii="Calibri" w:cs="Calibri" w:eastAsia="Calibri" w:hAnsi="Calibri"/>
          <w:sz w:val="21"/>
          <w:szCs w:val="21"/>
        </w:rPr>
        <w:t xml:space="preserve">ANSI/TIA-568 — cableado estructurado: límite de 90 m en el tramo horizontal y esquemas T568A / T568B.</w:t>
      </w:r>
    </w:p>
    <w:p>
      <w:pPr>
        <w:pStyle w:val="ListParagraph"/>
        <w:numPr>
          <w:ilvl w:val="0"/>
          <w:numId w:val="2"/>
        </w:numPr>
        <w:spacing w:after="80" w:line="276"/>
      </w:pPr>
      <w:r>
        <w:rPr>
          <w:rFonts w:ascii="Calibri" w:cs="Calibri" w:eastAsia="Calibri" w:hAnsi="Calibri"/>
          <w:sz w:val="21"/>
          <w:szCs w:val="21"/>
        </w:rPr>
        <w:t xml:space="preserve">IEC/EN 62676-4 — Video surveillance systems for use in security applications: application guidelines. Sucesora de la EN 50132-7; edición revisada en octubre de 2025.</w:t>
      </w:r>
    </w:p>
    <w:p>
      <w:pPr>
        <w:pStyle w:val="ListParagraph"/>
        <w:numPr>
          <w:ilvl w:val="0"/>
          <w:numId w:val="2"/>
        </w:numPr>
        <w:spacing w:after="80" w:line="276"/>
      </w:pPr>
      <w:r>
        <w:rPr>
          <w:rFonts w:ascii="Calibri" w:cs="Calibri" w:eastAsia="Calibri" w:hAnsi="Calibri"/>
          <w:sz w:val="21"/>
          <w:szCs w:val="21"/>
        </w:rPr>
        <w:t xml:space="preserve">ISO 55000 (gestión de activos), ISO 14224 (datos de confiabilidad), RCM y FMEA.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CE4" w:sz="4" w:space="4"/>
      </w:pBdr>
      <w:jc w:val="right"/>
    </w:pPr>
    <w:r>
      <w:rPr>
        <w:rFonts w:ascii="Calibri" w:cs="Calibri" w:eastAsia="Calibri" w:hAnsi="Calibri"/>
        <w:color w:val="44546A"/>
        <w:sz w:val="16"/>
        <w:szCs w:val="16"/>
      </w:rPr>
      <w:t xml:space="preserve">SGIT-CCTV · Aceros Arequipa, Planta Pisco · Módulos, normas y buenas prácticas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SGIT-CCTV · Módulos, normas y buenas prácticas de campo</dc:title>
  <dc:creator>Cristhian Rondón Amanqui</dc:creator>
  <cp:lastModifiedBy>Un-named</cp:lastModifiedBy>
  <cp:revision>1</cp:revision>
  <dcterms:created xsi:type="dcterms:W3CDTF">2026-08-17T13:05:44.005Z</dcterms:created>
  <dcterms:modified xsi:type="dcterms:W3CDTF">2026-08-17T13:05:44.006Z</dcterms:modified>
</cp:coreProperties>
</file>

<file path=docProps/custom.xml><?xml version="1.0" encoding="utf-8"?>
<Properties xmlns="http://schemas.openxmlformats.org/officeDocument/2006/custom-properties" xmlns:vt="http://schemas.openxmlformats.org/officeDocument/2006/docPropsVTypes"/>
</file>