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ARQUITECTURA</w:t>
      </w:r>
    </w:p>
    <w:p>
      <w:pPr>
        <w:spacing w:after="300"/>
      </w:pPr>
      <w:r>
        <w:rPr>
          <w:rFonts w:ascii="Calibri" w:cs="Calibri" w:eastAsia="Calibri" w:hAnsi="Calibri"/>
          <w:color w:val="5A6472"/>
          <w:sz w:val="24"/>
          <w:szCs w:val="24"/>
        </w:rPr>
        <w:t xml:space="preserve">Marco normativo, estándares y hoja de ruta</w:t>
      </w:r>
    </w:p>
    <w:p>
      <w:pPr>
        <w:pBdr>
          <w:bottom w:val="single" w:color="D6DEEA" w:sz="6"/>
        </w:pBdr>
        <w:spacing w:after="200" w:before="40"/>
      </w:pPr>
    </w:p>
    <w:p>
      <w:pPr>
        <w:spacing w:after="380" w:line="300"/>
      </w:pPr>
      <w:r>
        <w:rPr>
          <w:rFonts w:ascii="Calibri" w:cs="Calibri" w:eastAsia="Calibri" w:hAnsi="Calibri"/>
          <w:b/>
          <w:bCs/>
          <w:color w:val="B3121B"/>
          <w:sz w:val="22"/>
          <w:szCs w:val="22"/>
        </w:rPr>
        <w:t xml:space="preserve">SGIT-CCTV · ACEROS AREQUIPA, PLANTA PISCO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Este documento contesta la pregunta que va a hacer TI: </w:t>
      </w:r>
      <w:r>
        <w:rPr>
          <w:rFonts w:ascii="Calibri" w:cs="Calibri" w:eastAsia="Calibri" w:hAnsi="Calibri"/>
          <w:sz w:val="22"/>
          <w:szCs w:val="22"/>
        </w:rPr>
        <w:t xml:space="preserve">«¿esto sigue algún estándar o se lo inventaron?». La respuesta, norma por norma, y qué falta para terminarlo.</w:t>
      </w:r>
    </w:p>
    <w:p>
      <w:pPr>
        <w:spacing w:after="30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13 de agosto de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Marcos que sigue 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Norma / marco</w:t>
            </w:r>
          </w:p>
        </w:tc>
        <w:tc>
          <w:tcPr>
            <w:tcW w:type="dxa" w:w="32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aporta</w:t>
            </w:r>
          </w:p>
        </w:tc>
        <w:tc>
          <w:tcPr>
            <w:tcW w:type="dxa" w:w="39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está aplicado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ANSI/TIA-606-C (2017)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Administración de infraestructura de telecomunicaciones: identificadores, rótulos y color.</w:t>
            </w:r>
          </w:p>
        </w:tc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IMPLEMENTADO. El sistema genera y valida el rótulo. Código de color de 7 propósitos.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ITIL 4 — Gestión de activos</w:t>
            </w:r>
          </w:p>
        </w:tc>
        <w:tc>
          <w:tcPr>
            <w:tcW w:type="dxa" w:w="3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Ciclo de vida: qué se tiene, qué cuesta, quién responde, cuándo se retira.</w:t>
            </w:r>
          </w:p>
        </w:tc>
        <w:tc>
          <w:tcPr>
            <w:tcW w:type="dxa" w:w="3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PARCIAL. Ciclo completo salvo el coste. Alta, baja y purga con trazabilidad.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ITIL 4 — Configuración (CMDB)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elementos y SUS RELACIONES: qué depende de qué.</w:t>
            </w:r>
          </w:p>
        </w:tc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IMPLEMENTADO. Árbol de planta, conexiones y análisis de impacto.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ITIL 4 — Incidencias y peticiones</w:t>
            </w:r>
          </w:p>
        </w:tc>
        <w:tc>
          <w:tcPr>
            <w:tcW w:type="dxa" w:w="3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Separar «algo está roto» de «necesito algo».</w:t>
            </w:r>
          </w:p>
        </w:tc>
        <w:tc>
          <w:tcPr>
            <w:tcW w:type="dxa" w:w="3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IMPLEMENTADO. Incidencias y órdenes son entidades distintas y ligadas.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ITIL 4 — Gestión de cambios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 un cambio no tumbe un servicio.</w:t>
            </w:r>
          </w:p>
        </w:tc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PARCIAL. Ventanas de parada y firma de intervenibilidad. Falta flujo formal.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ISO 55000 / 55002</w:t>
            </w:r>
          </w:p>
        </w:tc>
        <w:tc>
          <w:tcPr>
            <w:tcW w:type="dxa" w:w="3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Criticidad ligada al VALOR para el negocio, no al coste del equipo.</w:t>
            </w:r>
          </w:p>
        </w:tc>
        <w:tc>
          <w:tcPr>
            <w:tcW w:type="dxa" w:w="3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IMPLEMENTADO, y es lo más maduro: Producción declara el valor y la criticidad se deriva.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ISO 27001 (acceso y trazabilidad)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Quién accede a qué y con qué rastro.</w:t>
            </w:r>
          </w:p>
        </w:tc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PARCIAL. Roles, ámbito, auditoría y cifrado. Falta la certificación.</w:t>
            </w:r>
          </w:p>
        </w:tc>
      </w:tr>
      <w:tr>
        <w:tc>
          <w:tcPr>
            <w:tcW w:type="dxa" w:w="2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BPMN 2.0 (OMG)</w:t>
            </w:r>
          </w:p>
        </w:tc>
        <w:tc>
          <w:tcPr>
            <w:tcW w:type="dxa" w:w="3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Procesos en un estándar que se abre en Bizagi.</w:t>
            </w:r>
          </w:p>
        </w:tc>
        <w:tc>
          <w:tcPr>
            <w:tcW w:type="dxa" w:w="39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IMPLEMENTADO. Cinco procesos con diagrama editable.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CMMS / EAM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Preventivo por condición, MTTR, MTBF, disponibilidad, backlog.</w:t>
            </w:r>
          </w:p>
        </w:tc>
        <w:tc>
          <w:tcPr>
            <w:tcW w:type="dxa" w:w="3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IMPLEMENTADO. Intervalo derivado del ambiente, no de un calendario plano.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Los siete principios de ITIL 4 </w:t>
      </w:r>
      <w:r>
        <w:rPr>
          <w:rFonts w:ascii="Calibri" w:cs="Calibri" w:eastAsia="Calibri" w:hAnsi="Calibri"/>
          <w:sz w:val="21"/>
          <w:szCs w:val="21"/>
        </w:rPr>
        <w:t xml:space="preserve">—centrarse en el valor, empezar donde estás, avanzar iterando, colaborar y dar visibilidad, pensar en conjunto, mantenerlo simple, optimizar y automatizar— describen bastante bien cómo se construyó esto: 30 bloques incrementales, cada uno verificado, sin reescribir lo anterior.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La distinción que TI va a valorar: ITAM ≠ CMDB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860"/>
      </w:tblGrid>
      <w:tr>
        <w:trPr>
          <w:tblHeader/>
        </w:trPr>
        <w:tc>
          <w:tcPr>
            <w:tcW w:type="dxa" w:w="17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guarda</w:t>
            </w:r>
          </w:p>
        </w:tc>
        <w:tc>
          <w:tcPr>
            <w:tcW w:type="dxa" w:w="38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 vive aquí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ITAM — inventario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se tiene, qué costó, quién responde, cuándo se retira.</w:t>
            </w:r>
          </w:p>
        </w:tc>
        <w:tc>
          <w:tcPr>
            <w:tcW w:type="dxa" w:w="3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Activos con su ciclo de vida. FALTA la parte financiera.</w:t>
            </w:r>
          </w:p>
        </w:tc>
      </w:tr>
      <w:tr>
        <w:tc>
          <w:tcPr>
            <w:tcW w:type="dxa" w:w="17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CMDB — configuración</w:t>
            </w:r>
          </w:p>
        </w:tc>
        <w:tc>
          <w:tcPr>
            <w:tcW w:type="dxa" w:w="38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elementos y sus RELACIONES: qué sostiene a qué servicio.</w:t>
            </w:r>
          </w:p>
        </w:tc>
        <w:tc>
          <w:tcPr>
            <w:tcW w:type="dxa" w:w="38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Árbol de planta, conexiones, IPAM y puntos críticos.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 una regla de la que este sistema se beneficia: </w:t>
      </w:r>
      <w:r>
        <w:rPr>
          <w:rFonts w:ascii="Calibri" w:cs="Calibri" w:eastAsia="Calibri" w:hAnsi="Calibri"/>
          <w:sz w:val="21"/>
          <w:szCs w:val="21"/>
        </w:rPr>
        <w:t xml:space="preserve">una CMDB incompleta pero EXACTA vale mucho más que una completa y desactualizada. Por eso el sistema prefiere decir «sin datos» a rellenar, y por eso las campañas de mapeo llevan control de calidad.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Estándar de rotulado y color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Basado en ANSI/TIA-606-C. Dos cosas que la norma dice y conviene tener claras: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EL COLOR ES RECOMENDADO, no obligatorio. Lo obligatorio es que exista un estándar interno, documentado y aplicado en TODA la instalación. Un color a medias es peor que ninguno: enseña a desconfiar del rótulo.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EL IDENTIFICADOR SÍ ES OBLIGATORIO: único, permanente y coincidente con la documentación. De nada sirve el rótulo si el papel dice otra cosa.</w:t>
      </w:r>
    </w:p>
    <w:p>
      <w:pPr>
        <w:spacing w:after="10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3.1 — Código de color de la planta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46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36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44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 dónde sale el criterio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Naranja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Backbone: troncales entre gabinetes y uplinks</w:t>
            </w:r>
          </w:p>
        </w:tc>
        <w:tc>
          <w:tcPr>
            <w:tcW w:type="dxa" w:w="4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TIA-606-C: naranja = demarcación / troncal</w:t>
            </w:r>
          </w:p>
        </w:tc>
      </w:tr>
      <w:tr>
        <w:tc>
          <w:tcPr>
            <w:tcW w:type="dxa" w:w="13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Negro</w:t>
            </w:r>
          </w:p>
        </w:tc>
        <w:tc>
          <w:tcPr>
            <w:tcW w:type="dxa" w:w="36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Servidores, NVR y equipo de rack</w:t>
            </w:r>
          </w:p>
        </w:tc>
        <w:tc>
          <w:tcPr>
            <w:tcW w:type="dxa" w:w="44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Criterio interno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Amarillo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WiFi y tomas con PoE</w:t>
            </w:r>
          </w:p>
        </w:tc>
        <w:tc>
          <w:tcPr>
            <w:tcW w:type="dxa" w:w="4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Criterio interno: avisa de que ese puerto lleva tensión</w:t>
            </w:r>
          </w:p>
        </w:tc>
      </w:tr>
      <w:tr>
        <w:tc>
          <w:tcPr>
            <w:tcW w:type="dxa" w:w="13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Azul</w:t>
            </w:r>
          </w:p>
        </w:tc>
        <w:tc>
          <w:tcPr>
            <w:tcW w:type="dxa" w:w="36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de red a puestos de trabajo</w:t>
            </w:r>
          </w:p>
        </w:tc>
        <w:tc>
          <w:tcPr>
            <w:tcW w:type="dxa" w:w="44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TIA-606-C: azul = cableado horizontal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Verde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CCTV</w:t>
            </w:r>
          </w:p>
        </w:tc>
        <w:tc>
          <w:tcPr>
            <w:tcW w:type="dxa" w:w="4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TIA-606-C: verde = conexiones de red / seguridad</w:t>
            </w:r>
          </w:p>
        </w:tc>
      </w:tr>
      <w:tr>
        <w:tc>
          <w:tcPr>
            <w:tcW w:type="dxa" w:w="13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Blanco</w:t>
            </w:r>
          </w:p>
        </w:tc>
        <w:tc>
          <w:tcPr>
            <w:tcW w:type="dxa" w:w="36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Telefonía y voz</w:t>
            </w:r>
          </w:p>
        </w:tc>
        <w:tc>
          <w:tcPr>
            <w:tcW w:type="dxa" w:w="44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Criterio interno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Rojo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 de proceso: PLC, HMI, instrumentación</w:t>
            </w:r>
          </w:p>
        </w:tc>
        <w:tc>
          <w:tcPr>
            <w:tcW w:type="dxa" w:w="4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Criterio interno — el más importante de la planta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 rojo se añadió a tu propuesta a propósito. </w:t>
      </w:r>
      <w:r>
        <w:rPr>
          <w:rFonts w:ascii="Calibri" w:cs="Calibri" w:eastAsia="Calibri" w:hAnsi="Calibri"/>
          <w:sz w:val="21"/>
          <w:szCs w:val="21"/>
        </w:rPr>
        <w:t xml:space="preserve">Marca la red que NO se toca sin coordinar con Producción: un patch cord rojo mal conectado puede detener un tren. En una siderúrgica esa distinción vale más que las otras seis juntas.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3.2 — La fórmula de rotulado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AA-&lt;TIPO&gt;-&lt;TREN&gt;-&lt;ZONA&gt;-&lt;NNN&gt;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  <w:tc>
          <w:tcPr>
            <w:tcW w:type="dxa" w:w="63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 lee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AA-CAM-T2-LECHO-014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Cámara 14 de la zona del lecho, Tren 2</w:t>
            </w:r>
          </w:p>
        </w:tc>
      </w:tr>
      <w:tr>
        <w:tc>
          <w:tcPr>
            <w:tcW w:type="dxa" w:w="30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AA-SW-T1-PULPIT-002</w:t>
            </w:r>
          </w:p>
        </w:tc>
        <w:tc>
          <w:tcPr>
            <w:tcW w:type="dxa" w:w="63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Switch 2 del púlpito, Tren 1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AA-NVR-T3-SALA-001</w:t>
            </w:r>
          </w:p>
        </w:tc>
        <w:tc>
          <w:tcPr>
            <w:tcW w:type="dxa" w:w="6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Grabador 1 de la sala, Tren 3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POR QUÉ ASÍ Y NO UN CORRELATIVO. Un número suelto (CAM-0473) obliga a consultar el sistema para saber dónde está. Éste se lee de un vistazo estando delante del equipo, que es cuando hace falta: el técnico ve el rótulo y ya sabe tren y zona sin sacar el teléfono. Y ordena solo: al listarlos alfabéticamente quedan agrupados por tren y por zona.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>EL PREFIJO «AA» NO ES DECORACIÓN. En un rack conviven cables de varios contratistas y de varias épocas. El prefijo dice de quién es el estándar.</w:t>
      </w:r>
    </w:p>
    <w:p>
      <w:pPr>
        <w:spacing w:after="12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 está PROGRAMADO, no escrito en un PDF. </w:t>
      </w:r>
      <w:r>
        <w:rPr>
          <w:rFonts w:ascii="Calibri" w:cs="Calibri" w:eastAsia="Calibri" w:hAnsi="Calibri"/>
          <w:sz w:val="21"/>
          <w:szCs w:val="21"/>
        </w:rPr>
        <w:t xml:space="preserve">El sistema genera el rótulo y valida el que se escribe a mano. Un estándar en un documento se cumple el primer mes; éste no depende de que nadie se acuerde.</w:t>
      </w:r>
    </w:p>
    <w:p>
      <w:pPr>
        <w:spacing w:after="200" w:line="300"/>
      </w:pPr>
      <w:r>
        <w:rPr>
          <w:rFonts w:ascii="Calibri" w:cs="Calibri" w:eastAsia="Calibri" w:hAnsi="Calibri"/>
          <w:sz w:val="21"/>
          <w:szCs w:val="21"/>
        </w:rPr>
        <w:t xml:space="preserve">Una decisión fina: si el rótulo dice T1 y el árbol dice T2, el sistema AVISA pero no bloquea — puede que el equipo se haya movido y la etiqueta física siga siendo la vieja. Bloquearlo obligaría al técnico a mentir para poder guardar, que es como se corrompen los datos.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Qué falta para terminar el software</w:t>
      </w:r>
    </w:p>
    <w:p>
      <w:pPr>
        <w:spacing w:after="140" w:line="300"/>
      </w:pPr>
      <w:r>
        <w:rPr>
          <w:rFonts w:ascii="Calibri" w:cs="Calibri" w:eastAsia="Calibri" w:hAnsi="Calibri"/>
          <w:color w:val="5A6472"/>
          <w:sz w:val="21"/>
          <w:szCs w:val="21"/>
        </w:rPr>
        <w:t xml:space="preserve">Ordenado por lo que desbloquea, no por lo que cuesta.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Bloque A — Cierra el ciclo del dinero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66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43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  <w:tc>
          <w:tcPr>
            <w:tcW w:type="dxa" w:w="26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Precio en el repuesto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esto no hay costo por orden ni por equipo.</w:t>
            </w:r>
          </w:p>
        </w:tc>
        <w:tc>
          <w:tcPr>
            <w:tcW w:type="dxa" w:w="2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Almacén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Horas-hombre en la orden</w:t>
            </w:r>
          </w:p>
        </w:tc>
        <w:tc>
          <w:tcPr>
            <w:tcW w:type="dxa" w:w="43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Hoy se guardan las horas de la PARADA, no las de las personas.</w:t>
            </w:r>
          </w:p>
        </w:tc>
        <w:tc>
          <w:tcPr>
            <w:tcW w:type="dxa" w:w="26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Desarrollo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Varios técnicos por orden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cuadrilla de tres no cabe en el modelo actual.</w:t>
            </w:r>
          </w:p>
        </w:tc>
        <w:tc>
          <w:tcPr>
            <w:tcW w:type="dxa" w:w="2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Desarrollo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por zona crítica</w:t>
            </w:r>
          </w:p>
        </w:tc>
        <w:tc>
          <w:tcPr>
            <w:tcW w:type="dxa" w:w="43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número con el que se defiende un presupuesto.</w:t>
            </w:r>
          </w:p>
        </w:tc>
        <w:tc>
          <w:tcPr>
            <w:tcW w:type="dxa" w:w="26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tres de arriba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Bloque B — Cierra el ciclo de las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266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43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  <w:tc>
          <w:tcPr>
            <w:tcW w:type="dxa" w:w="26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Empresa contratista como dato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Hoy el recorte es por tren, no por contrato: dos terceros en el mismo tren se ven entre ellos.</w:t>
            </w:r>
          </w:p>
        </w:tc>
        <w:tc>
          <w:tcPr>
            <w:tcW w:type="dxa" w:w="2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Desarrollo</w:t>
            </w:r>
          </w:p>
        </w:tc>
      </w:tr>
      <w:tr>
        <w:tc>
          <w:tcPr>
            <w:tcW w:type="dxa" w:w="24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Valorización mensual del tercero</w:t>
            </w:r>
          </w:p>
        </w:tc>
        <w:tc>
          <w:tcPr>
            <w:tcW w:type="dxa" w:w="43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 que se necesita para pagarle.</w:t>
            </w:r>
          </w:p>
        </w:tc>
        <w:tc>
          <w:tcPr>
            <w:tcW w:type="dxa" w:w="26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Bloque A + empresa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Turnos y cuadrillas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no sabe de relevos.</w:t>
            </w:r>
          </w:p>
        </w:tc>
        <w:tc>
          <w:tcPr>
            <w:tcW w:type="dxa" w:w="2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Confirmar cómo rotan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Bloque C — Pantallas de lo ya construido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Administración de procedimientos de restauración: el backend está, se crean por API.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Bandeja de mejoras pendientes para el Jefe: el endpoint existe, falta la pantalla.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Pantalla del estándar de rotulado: generar e imprimir etiquetas desde la ficha.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Bloque D — Integraciones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HikCentral / iVMS: evita la doble carga de cámaras.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SAP: los campos están preparados; hoy el código se registra a mano.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Calibri" w:cs="Calibri" w:eastAsia="Calibri" w:hAnsi="Calibri"/>
          <w:sz w:val="21"/>
          <w:szCs w:val="21"/>
        </w:rPr>
        <w:t xml:space="preserve">Agente de monitoreo: montado y apagado, esperando el visto bueno de TI.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Bloque E — Operación, y depende de 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41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Urgencia</w:t>
            </w:r>
          </w:p>
        </w:tc>
      </w:tr>
      <w:tr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Activar PITR en Railway ANTES de cargar datos reales</w:t>
            </w:r>
          </w:p>
        </w:tc>
        <w:tc>
          <w:tcPr>
            <w:tcW w:type="dxa" w:w="4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más alta. Después no cubre lo anterior.</w:t>
            </w:r>
          </w:p>
        </w:tc>
      </w:tr>
      <w:tr>
        <w:tc>
          <w:tcPr>
            <w:tcW w:type="dxa" w:w="5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Ensayo de restauración</w:t>
            </w:r>
          </w:p>
        </w:tc>
        <w:tc>
          <w:tcPr>
            <w:tcW w:type="dxa" w:w="41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respaldo que nunca se restauró es una carpeta.</w:t>
            </w:r>
          </w:p>
        </w:tc>
      </w:tr>
      <w:tr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Rotar la clave de Postgres · configurar CREDENTIAL_ENC_KEY</w:t>
            </w:r>
          </w:p>
        </w:tc>
        <w:tc>
          <w:tcPr>
            <w:tcW w:type="dxa" w:w="4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la segunda el backend no arranca en producción.</w:t>
            </w:r>
          </w:p>
        </w:tc>
      </w:tr>
      <w:tr>
        <w:tc>
          <w:tcPr>
            <w:tcW w:type="dxa" w:w="5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Respaldo externo de fotos (R2) y sus secretos</w:t>
            </w:r>
          </w:p>
        </w:tc>
        <w:tc>
          <w:tcPr>
            <w:tcW w:type="dxa" w:w="41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Media.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Bloque F — Deuda técnica medida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</w:t>
            </w:r>
          </w:p>
        </w:tc>
        <w:tc>
          <w:tcPr>
            <w:tcW w:type="dxa" w:w="31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Tamaño</w:t>
            </w:r>
          </w:p>
        </w:tc>
      </w:tr>
      <w:tr>
        <w:tc>
          <w:tcPr>
            <w:tcW w:type="dxa" w:w="6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Tipos `any` en el navegador</w:t>
            </w:r>
          </w:p>
        </w:tc>
        <w:tc>
          <w:tcPr>
            <w:tcW w:type="dxa" w:w="3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360</w:t>
            </w:r>
          </w:p>
        </w:tc>
      </w:tr>
      <w:tr>
        <w:tc>
          <w:tcPr>
            <w:tcW w:type="dxa" w:w="6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Servicios de más de 500 líneas</w:t>
            </w:r>
          </w:p>
        </w:tc>
        <w:tc>
          <w:tcPr>
            <w:tcW w:type="dxa" w:w="31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(el mayor, 991)</w:t>
            </w:r>
          </w:p>
        </w:tc>
      </w:tr>
      <w:tr>
        <w:tc>
          <w:tcPr>
            <w:tcW w:type="dxa" w:w="6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Reglas atadas al NOMBRE del rol en vez de a un permiso</w:t>
            </w:r>
          </w:p>
        </w:tc>
        <w:tc>
          <w:tcPr>
            <w:tcW w:type="dxa" w:w="3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archivos</w:t>
            </w:r>
          </w:p>
        </w:tc>
      </w:tr>
      <w:tr>
        <w:tc>
          <w:tcPr>
            <w:tcW w:type="dxa" w:w="620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Formularios sin el patrón de campos</w:t>
            </w:r>
          </w:p>
        </w:tc>
        <w:tc>
          <w:tcPr>
            <w:tcW w:type="dxa" w:w="3160"/>
            <w:shd w:fill="F4F7F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</w:t>
            </w:r>
          </w:p>
        </w:tc>
      </w:tr>
      <w:tr>
        <w:tc>
          <w:tcPr>
            <w:tcW w:type="dxa" w:w="6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Pruebas de integración contra base real</w:t>
            </w:r>
          </w:p>
        </w:tc>
        <w:tc>
          <w:tcPr>
            <w:tcW w:type="dxa" w:w="3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— hay 627 unitarias</w:t>
            </w:r>
          </w:p>
        </w:tc>
      </w:tr>
    </w:tbl>
    <w:p>
      <w:pPr>
        <w:spacing w:after="200" w:line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La recomendación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Primero el bloque A. </w:t>
      </w:r>
      <w:r>
        <w:rPr>
          <w:rFonts w:ascii="Calibri" w:cs="Calibri" w:eastAsia="Calibri" w:hAnsi="Calibri"/>
          <w:sz w:val="21"/>
          <w:szCs w:val="21"/>
        </w:rPr>
        <w:t xml:space="preserve">Es lo único que cambia la conversación de «tenemos un inventario ordenado» a «esto ahorra plata», y ahora encaja perfecto: con las zonas declaradas se puede decir cuánto cuesta mantener las cámaras de la zona crítica. Ése es el número que un comité entiende.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 antes de nada, el bloque E. </w:t>
      </w:r>
      <w:r>
        <w:rPr>
          <w:rFonts w:ascii="Calibri" w:cs="Calibri" w:eastAsia="Calibri" w:hAnsi="Calibri"/>
          <w:sz w:val="21"/>
          <w:szCs w:val="21"/>
        </w:rPr>
        <w:t xml:space="preserve">No es desarrollo, es una tarde de configuración, y si se carga la planta entera sin PITR activado no hay vuelta atrás.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Arquitectura, estandares y hoja de ruta</dc:title>
  <dc:creator>SGIT-CCTV</dc:creator>
  <cp:lastModifiedBy>Un-named</cp:lastModifiedBy>
  <cp:revision>1</cp:revision>
  <dcterms:created xsi:type="dcterms:W3CDTF">2026-08-15T04:39:38.251Z</dcterms:created>
  <dcterms:modified xsi:type="dcterms:W3CDTF">2026-08-15T04:39:38.251Z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