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7FD60">
      <w:pPr>
        <w:pStyle w:val="2"/>
      </w:pPr>
      <w:r>
        <w:t>一、本周工作概述</w:t>
      </w:r>
    </w:p>
    <w:p w14:paraId="2FF1C821">
      <w:r>
        <w:t>本周重点完成了 ConvTransformer 架构的深度优化，针对原始纯Transformer在ECG长序列建模中的局限性，引入"局部卷积+全局注意力"的混合机制，并完成了首轮训练验证。主要工作包括：</w:t>
      </w:r>
    </w:p>
    <w:p w14:paraId="6600A804">
      <w:pPr>
        <w:pStyle w:val="23"/>
      </w:pPr>
      <w:r>
        <w:t>✅ 重构模型主干：实现 1D-CNN + Transformer Encoder 的级联架构</w:t>
      </w:r>
    </w:p>
    <w:p w14:paraId="1B4CD5C9">
      <w:pPr>
        <w:pStyle w:val="23"/>
      </w:pPr>
      <w:r>
        <w:t>✅ 引入 [CLS] Token 机制替代全局平均池化，增强稀疏病理特征捕捉能力</w:t>
      </w:r>
    </w:p>
    <w:p w14:paraId="509A7960">
      <w:pPr>
        <w:pStyle w:val="23"/>
      </w:pPr>
      <w:r>
        <w:t>✅ 优化降采样策略：卷积核调整为 7→5→3 渐进式，保留时序分辨率</w:t>
      </w:r>
    </w:p>
    <w:p w14:paraId="7AF2E3FB">
      <w:pPr>
        <w:pStyle w:val="23"/>
      </w:pPr>
      <w:r>
        <w:t>✅ 升级位置编码：由固定三角函数改为可学习参数矩阵（Learnable Positional Encoding）</w:t>
      </w:r>
    </w:p>
    <w:p w14:paraId="15BB1A9A">
      <w:pPr>
        <w:pStyle w:val="23"/>
      </w:pPr>
      <w:r>
        <w:t>✅ 完成首轮训练（10 rounds），采集CNN/Transformer/Ensemble三路准确率指标</w:t>
      </w:r>
    </w:p>
    <w:p w14:paraId="4A66D77F">
      <w:pPr>
        <w:pStyle w:val="2"/>
      </w:pPr>
      <w:r>
        <w:t>二、架构优化核心要点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6A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DC3313">
            <w:pPr>
              <w:spacing w:after="0" w:line="240" w:lineRule="auto"/>
            </w:pPr>
            <w:r>
              <w:rPr>
                <w:b/>
              </w:rPr>
              <w:t>优化项</w:t>
            </w:r>
          </w:p>
        </w:tc>
        <w:tc>
          <w:tcPr>
            <w:tcW w:w="2160" w:type="dxa"/>
          </w:tcPr>
          <w:p w14:paraId="08E60E65">
            <w:pPr>
              <w:spacing w:after="0" w:line="240" w:lineRule="auto"/>
            </w:pPr>
            <w:r>
              <w:rPr>
                <w:b/>
              </w:rPr>
              <w:t>原方案问题</w:t>
            </w:r>
          </w:p>
        </w:tc>
        <w:tc>
          <w:tcPr>
            <w:tcW w:w="2160" w:type="dxa"/>
          </w:tcPr>
          <w:p w14:paraId="18ABB97A">
            <w:pPr>
              <w:spacing w:after="0" w:line="240" w:lineRule="auto"/>
            </w:pPr>
            <w:r>
              <w:rPr>
                <w:b/>
              </w:rPr>
              <w:t>改进方案</w:t>
            </w:r>
          </w:p>
        </w:tc>
        <w:tc>
          <w:tcPr>
            <w:tcW w:w="2160" w:type="dxa"/>
          </w:tcPr>
          <w:p w14:paraId="3BD35CEF">
            <w:pPr>
              <w:spacing w:after="0" w:line="240" w:lineRule="auto"/>
            </w:pPr>
            <w:r>
              <w:rPr>
                <w:b/>
              </w:rPr>
              <w:t>预期收益</w:t>
            </w:r>
          </w:p>
        </w:tc>
      </w:tr>
      <w:tr w14:paraId="5026A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20D186">
            <w:pPr>
              <w:spacing w:after="0" w:line="240" w:lineRule="auto"/>
            </w:pPr>
            <w:r>
              <w:t>特征提取</w:t>
            </w:r>
          </w:p>
        </w:tc>
        <w:tc>
          <w:tcPr>
            <w:tcW w:w="2160" w:type="dxa"/>
          </w:tcPr>
          <w:p w14:paraId="1BF86D70">
            <w:pPr>
              <w:spacing w:after="0" w:line="240" w:lineRule="auto"/>
            </w:pPr>
            <w:r>
              <w:t>纯Transformer缺乏局部归纳偏置，难捕捉P/QRS/T波微观形态</w:t>
            </w:r>
          </w:p>
        </w:tc>
        <w:tc>
          <w:tcPr>
            <w:tcW w:w="2160" w:type="dxa"/>
          </w:tcPr>
          <w:p w14:paraId="611D3293">
            <w:pPr>
              <w:spacing w:after="0" w:line="240" w:lineRule="auto"/>
            </w:pPr>
            <w:r>
              <w:t>前置多层1D-CNN+MaxPool，充当"信号放大镜"</w:t>
            </w:r>
          </w:p>
        </w:tc>
        <w:tc>
          <w:tcPr>
            <w:tcW w:w="2160" w:type="dxa"/>
          </w:tcPr>
          <w:p w14:paraId="4738BAF2">
            <w:pPr>
              <w:spacing w:after="0" w:line="240" w:lineRule="auto"/>
            </w:pPr>
            <w:r>
              <w:t>提升局部波形特征表达能力</w:t>
            </w:r>
          </w:p>
        </w:tc>
      </w:tr>
      <w:tr w14:paraId="335A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354686">
            <w:pPr>
              <w:spacing w:after="0" w:line="240" w:lineRule="auto"/>
            </w:pPr>
            <w:r>
              <w:t>序列聚合</w:t>
            </w:r>
          </w:p>
        </w:tc>
        <w:tc>
          <w:tcPr>
            <w:tcW w:w="2160" w:type="dxa"/>
          </w:tcPr>
          <w:p w14:paraId="51E9C74B">
            <w:pPr>
              <w:spacing w:after="0" w:line="240" w:lineRule="auto"/>
            </w:pPr>
            <w:r>
              <w:t>全局平均池化易稀释稀疏的房颤异常特征</w:t>
            </w:r>
          </w:p>
        </w:tc>
        <w:tc>
          <w:tcPr>
            <w:tcW w:w="2160" w:type="dxa"/>
          </w:tcPr>
          <w:p w14:paraId="4F8C8AE4">
            <w:pPr>
              <w:spacing w:after="0" w:line="240" w:lineRule="auto"/>
            </w:pPr>
            <w:r>
              <w:t>引入可学习 [CLS] Token，通过注意力主动吸附关键节点</w:t>
            </w:r>
          </w:p>
        </w:tc>
        <w:tc>
          <w:tcPr>
            <w:tcW w:w="2160" w:type="dxa"/>
          </w:tcPr>
          <w:p w14:paraId="7AFF36CE">
            <w:pPr>
              <w:spacing w:after="0" w:line="240" w:lineRule="auto"/>
            </w:pPr>
            <w:r>
              <w:t>避免特征平均化，增强病理信号敏感度</w:t>
            </w:r>
          </w:p>
        </w:tc>
      </w:tr>
      <w:tr w14:paraId="55EA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6D4A8EC">
            <w:pPr>
              <w:spacing w:after="0" w:line="240" w:lineRule="auto"/>
            </w:pPr>
            <w:r>
              <w:t>时序建模</w:t>
            </w:r>
          </w:p>
        </w:tc>
        <w:tc>
          <w:tcPr>
            <w:tcW w:w="2160" w:type="dxa"/>
          </w:tcPr>
          <w:p w14:paraId="758E334C">
            <w:pPr>
              <w:spacing w:after="0" w:line="240" w:lineRule="auto"/>
            </w:pPr>
            <w:r>
              <w:t>固定Sin/Cos编码对规整高采样ECG信号适配性弱</w:t>
            </w:r>
          </w:p>
        </w:tc>
        <w:tc>
          <w:tcPr>
            <w:tcW w:w="2160" w:type="dxa"/>
          </w:tcPr>
          <w:p w14:paraId="0EFA6C30">
            <w:pPr>
              <w:spacing w:after="0" w:line="240" w:lineRule="auto"/>
            </w:pPr>
            <w:r>
              <w:t>改为 nn.Parameter 可学习位置编码，反向传播自适应微调</w:t>
            </w:r>
          </w:p>
        </w:tc>
        <w:tc>
          <w:tcPr>
            <w:tcW w:w="2160" w:type="dxa"/>
          </w:tcPr>
          <w:p w14:paraId="263A7CB2">
            <w:pPr>
              <w:spacing w:after="0" w:line="240" w:lineRule="auto"/>
            </w:pPr>
            <w:r>
              <w:t>提升心跳间相对/绝对依赖关系的建模精度</w:t>
            </w:r>
          </w:p>
        </w:tc>
      </w:tr>
      <w:tr w14:paraId="1C40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E80E73">
            <w:pPr>
              <w:spacing w:after="0" w:line="240" w:lineRule="auto"/>
            </w:pPr>
            <w:r>
              <w:t>降采样策略</w:t>
            </w:r>
          </w:p>
        </w:tc>
        <w:tc>
          <w:tcPr>
            <w:tcW w:w="2160" w:type="dxa"/>
          </w:tcPr>
          <w:p w14:paraId="1B5FDAC6">
            <w:pPr>
              <w:spacing w:after="0" w:line="240" w:lineRule="auto"/>
            </w:pPr>
            <w:r>
              <w:t>激进池化导致时序信息过度压缩，Attention计算空间不足</w:t>
            </w:r>
          </w:p>
        </w:tc>
        <w:tc>
          <w:tcPr>
            <w:tcW w:w="2160" w:type="dxa"/>
          </w:tcPr>
          <w:p w14:paraId="4F2EC0EA">
            <w:pPr>
              <w:spacing w:after="0" w:line="240" w:lineRule="auto"/>
            </w:pPr>
            <w:r>
              <w:t>缩小卷积核、取消大步长，仅靠MaxPool稳态降维</w:t>
            </w:r>
          </w:p>
        </w:tc>
        <w:tc>
          <w:tcPr>
            <w:tcW w:w="2160" w:type="dxa"/>
          </w:tcPr>
          <w:p w14:paraId="0CB7DE2C">
            <w:pPr>
              <w:spacing w:after="0" w:line="240" w:lineRule="auto"/>
            </w:pPr>
            <w:r>
              <w:t>为Transformer保留充足时序分辨率（数百步）</w:t>
            </w:r>
          </w:p>
        </w:tc>
      </w:tr>
    </w:tbl>
    <w:p w14:paraId="2ECEDCCF">
      <w:pPr>
        <w:pStyle w:val="2"/>
      </w:pPr>
      <w:r>
        <w:t>三、实验结果分析</w:t>
      </w:r>
    </w:p>
    <w:p w14:paraId="407B5E3F">
      <w:pPr>
        <w:pStyle w:val="3"/>
      </w:pPr>
      <w:r>
        <w:t>📊 训练准确率曲线</w:t>
      </w:r>
    </w:p>
    <w:p w14:paraId="146D1B98">
      <w:r>
        <w:t>下图展示了CNN分支、Transformer分支以及集成模型在10轮训练中的准确率变化：</w:t>
      </w:r>
    </w:p>
    <w:p w14:paraId="77C0464B">
      <w:r>
        <w:drawing>
          <wp:inline distT="0" distB="0" distL="114300" distR="114300">
            <wp:extent cx="5943600" cy="3536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3468">
      <w:pPr>
        <w:pStyle w:val="3"/>
      </w:pPr>
      <w:r>
        <w:t>🔍 关键指标解读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FF7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9B0A71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1728" w:type="dxa"/>
          </w:tcPr>
          <w:p w14:paraId="5B97F79A">
            <w:pPr>
              <w:spacing w:after="0" w:line="240" w:lineRule="auto"/>
            </w:pPr>
            <w:r>
              <w:rPr>
                <w:b/>
              </w:rPr>
              <w:t>初始值 (Round 1)</w:t>
            </w:r>
          </w:p>
        </w:tc>
        <w:tc>
          <w:tcPr>
            <w:tcW w:w="1728" w:type="dxa"/>
          </w:tcPr>
          <w:p w14:paraId="2063F15F">
            <w:pPr>
              <w:spacing w:after="0" w:line="240" w:lineRule="auto"/>
            </w:pPr>
            <w:r>
              <w:rPr>
                <w:b/>
              </w:rPr>
              <w:t>峰值</w:t>
            </w:r>
          </w:p>
        </w:tc>
        <w:tc>
          <w:tcPr>
            <w:tcW w:w="1728" w:type="dxa"/>
          </w:tcPr>
          <w:p w14:paraId="4A5B3D4E">
            <w:pPr>
              <w:spacing w:after="0" w:line="240" w:lineRule="auto"/>
            </w:pPr>
            <w:r>
              <w:rPr>
                <w:b/>
              </w:rPr>
              <w:t>稳定值 (Round 10)</w:t>
            </w:r>
          </w:p>
        </w:tc>
        <w:tc>
          <w:tcPr>
            <w:tcW w:w="1728" w:type="dxa"/>
          </w:tcPr>
          <w:p w14:paraId="2008A5B6">
            <w:pPr>
              <w:spacing w:after="0" w:line="240" w:lineRule="auto"/>
            </w:pPr>
            <w:r>
              <w:rPr>
                <w:b/>
              </w:rPr>
              <w:t>趋势分析</w:t>
            </w:r>
          </w:p>
        </w:tc>
      </w:tr>
      <w:tr w14:paraId="251A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4AD9D5">
            <w:pPr>
              <w:spacing w:after="0" w:line="240" w:lineRule="auto"/>
            </w:pPr>
            <w:r>
              <w:t>CNN分支</w:t>
            </w:r>
          </w:p>
        </w:tc>
        <w:tc>
          <w:tcPr>
            <w:tcW w:w="1728" w:type="dxa"/>
          </w:tcPr>
          <w:p w14:paraId="7C37C636">
            <w:pPr>
              <w:spacing w:after="0" w:line="240" w:lineRule="auto"/>
            </w:pPr>
            <w:r>
              <w:t>71.1%</w:t>
            </w:r>
          </w:p>
        </w:tc>
        <w:tc>
          <w:tcPr>
            <w:tcW w:w="1728" w:type="dxa"/>
          </w:tcPr>
          <w:p w14:paraId="1C161DAB">
            <w:pPr>
              <w:spacing w:after="0" w:line="240" w:lineRule="auto"/>
            </w:pPr>
            <w:r>
              <w:t>93.8% (R7)</w:t>
            </w:r>
          </w:p>
        </w:tc>
        <w:tc>
          <w:tcPr>
            <w:tcW w:w="1728" w:type="dxa"/>
          </w:tcPr>
          <w:p w14:paraId="4B24DD96">
            <w:pPr>
              <w:spacing w:after="0" w:line="240" w:lineRule="auto"/>
            </w:pPr>
            <w:r>
              <w:t>91.3%</w:t>
            </w:r>
          </w:p>
        </w:tc>
        <w:tc>
          <w:tcPr>
            <w:tcW w:w="1728" w:type="dxa"/>
          </w:tcPr>
          <w:p w14:paraId="1CDC76A6">
            <w:pPr>
              <w:spacing w:after="0" w:line="240" w:lineRule="auto"/>
            </w:pPr>
            <w:r>
              <w:t>快速收敛，局部特征提取稳定有效</w:t>
            </w:r>
          </w:p>
        </w:tc>
      </w:tr>
      <w:tr w14:paraId="71AD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DFDFA0">
            <w:pPr>
              <w:spacing w:after="0" w:line="240" w:lineRule="auto"/>
            </w:pPr>
            <w:r>
              <w:t>Transformer分支</w:t>
            </w:r>
          </w:p>
        </w:tc>
        <w:tc>
          <w:tcPr>
            <w:tcW w:w="1728" w:type="dxa"/>
          </w:tcPr>
          <w:p w14:paraId="530A180C">
            <w:pPr>
              <w:spacing w:after="0" w:line="240" w:lineRule="auto"/>
            </w:pPr>
            <w:r>
              <w:t>72.0%</w:t>
            </w:r>
          </w:p>
        </w:tc>
        <w:tc>
          <w:tcPr>
            <w:tcW w:w="1728" w:type="dxa"/>
          </w:tcPr>
          <w:p w14:paraId="5196C70B">
            <w:pPr>
              <w:spacing w:after="0" w:line="240" w:lineRule="auto"/>
            </w:pPr>
            <w:r>
              <w:t>89.4% (R6)</w:t>
            </w:r>
          </w:p>
        </w:tc>
        <w:tc>
          <w:tcPr>
            <w:tcW w:w="1728" w:type="dxa"/>
          </w:tcPr>
          <w:p w14:paraId="1F338391">
            <w:pPr>
              <w:spacing w:after="0" w:line="240" w:lineRule="auto"/>
            </w:pPr>
            <w:r>
              <w:t>88.2%</w:t>
            </w:r>
          </w:p>
        </w:tc>
        <w:tc>
          <w:tcPr>
            <w:tcW w:w="1728" w:type="dxa"/>
          </w:tcPr>
          <w:p w14:paraId="59AAC0C0">
            <w:pPr>
              <w:spacing w:after="0" w:line="240" w:lineRule="auto"/>
            </w:pPr>
            <w:r>
              <w:t>存在波动，全局建模需更多训练轮次稳定</w:t>
            </w:r>
          </w:p>
        </w:tc>
      </w:tr>
      <w:tr w14:paraId="37B0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216E6E74">
            <w:pPr>
              <w:spacing w:after="0" w:line="240" w:lineRule="auto"/>
            </w:pPr>
            <w:r>
              <w:t>Ensemble集成</w:t>
            </w:r>
          </w:p>
        </w:tc>
        <w:tc>
          <w:tcPr>
            <w:tcW w:w="1728" w:type="dxa"/>
          </w:tcPr>
          <w:p w14:paraId="01DC2070">
            <w:pPr>
              <w:spacing w:after="0" w:line="240" w:lineRule="auto"/>
            </w:pPr>
            <w:r>
              <w:t>71.0%</w:t>
            </w:r>
          </w:p>
        </w:tc>
        <w:tc>
          <w:tcPr>
            <w:tcW w:w="1728" w:type="dxa"/>
          </w:tcPr>
          <w:p w14:paraId="6E1DC78E">
            <w:pPr>
              <w:spacing w:after="0" w:line="240" w:lineRule="auto"/>
            </w:pPr>
            <w:r>
              <w:t>90.4% (R7)</w:t>
            </w:r>
          </w:p>
        </w:tc>
        <w:tc>
          <w:tcPr>
            <w:tcW w:w="1728" w:type="dxa"/>
          </w:tcPr>
          <w:p w14:paraId="3EC9A680">
            <w:pPr>
              <w:spacing w:after="0" w:line="240" w:lineRule="auto"/>
            </w:pPr>
            <w:r>
              <w:t>89.1%</w:t>
            </w:r>
          </w:p>
        </w:tc>
        <w:tc>
          <w:tcPr>
            <w:tcW w:w="1728" w:type="dxa"/>
          </w:tcPr>
          <w:p w14:paraId="7E203F2C">
            <w:pPr>
              <w:spacing w:after="0" w:line="240" w:lineRule="auto"/>
            </w:pPr>
            <w:r>
              <w:t>融合策略有效平滑单模型波动，整体鲁棒性提升</w:t>
            </w:r>
          </w:p>
        </w:tc>
      </w:tr>
    </w:tbl>
    <w:p w14:paraId="570E3484">
      <w:pPr>
        <w:pStyle w:val="3"/>
      </w:pPr>
      <w:r>
        <w:t>💡 结果洞察</w:t>
      </w:r>
    </w:p>
    <w:p w14:paraId="70161A9D">
      <w:pPr>
        <w:pStyle w:val="23"/>
      </w:pPr>
      <w:r>
        <w:t>CNN分支准确率显著高于Transformer分支，验证了局部形态特征对房颤检测的基础性作用</w:t>
      </w:r>
    </w:p>
    <w:p w14:paraId="2BE3FAD7">
      <w:pPr>
        <w:pStyle w:val="23"/>
      </w:pPr>
      <w:r>
        <w:t>集成模型在多数轮次优于单一Transformer，说明混合架构的互补性已初步体现</w:t>
      </w:r>
    </w:p>
    <w:p w14:paraId="223BBC1C">
      <w:pPr>
        <w:pStyle w:val="23"/>
      </w:pPr>
      <w:r>
        <w:t>Transformer分支在R3出现明显波动（80.1%），推测与可学习位置编码初期训练不稳定有关，后续可增加warmup策略</w:t>
      </w:r>
    </w:p>
    <w:p w14:paraId="094DEECE">
      <w:pPr>
        <w:pStyle w:val="2"/>
      </w:pPr>
      <w:r>
        <w:t>四、配置参数备忘</w:t>
      </w:r>
    </w:p>
    <w:p w14:paraId="780FC35A">
      <w:r>
        <w:rPr>
          <w:b/>
        </w:rPr>
        <w:t>训练配置参数：</w:t>
      </w:r>
      <w:r>
        <w:rPr>
          <w:b/>
        </w:rPr>
        <w:br w:type="textWrapping"/>
      </w:r>
      <w:r>
        <w:rPr>
          <w:b/>
        </w:rPr>
        <w:br w:type="textWrapping"/>
      </w:r>
      <w:r>
        <w:t>CV_TH: 0.02</w:t>
      </w:r>
      <w:r>
        <w:br w:type="textWrapping"/>
      </w:r>
      <w:r>
        <w:t>ARI_TH: 0.24</w:t>
      </w:r>
      <w:r>
        <w:br w:type="textWrapping"/>
      </w:r>
      <w:r>
        <w:t>BATCH_SIZE: 32</w:t>
      </w:r>
      <w:r>
        <w:br w:type="textWrapping"/>
      </w:r>
      <w:r>
        <w:t>NUM_EPOCHS: 60</w:t>
      </w:r>
      <w:r>
        <w:br w:type="textWrapping"/>
      </w:r>
      <w:r>
        <w:t>LR: 0.001</w:t>
      </w:r>
      <w:r>
        <w:br w:type="textWrapping"/>
      </w:r>
      <w:r>
        <w:t>TH_HIGH: 0.95</w:t>
      </w:r>
      <w:r>
        <w:br w:type="textWrapping"/>
      </w:r>
      <w:r>
        <w:t>TH_LOW: 0.05</w:t>
      </w:r>
      <w:r>
        <w:br w:type="textWrapping"/>
      </w:r>
    </w:p>
    <w:p w14:paraId="06CE374F">
      <w:pPr>
        <w:pStyle w:val="2"/>
      </w:pPr>
      <w:r>
        <w:t>五、问题与下一步计划</w:t>
      </w:r>
    </w:p>
    <w:p w14:paraId="302261B8">
      <w:pPr>
        <w:pStyle w:val="3"/>
      </w:pPr>
      <w:r>
        <w:t>⚠️ 当前问题</w:t>
      </w:r>
    </w:p>
    <w:p w14:paraId="339FB51D">
      <w:pPr>
        <w:pStyle w:val="23"/>
      </w:pPr>
      <w:r>
        <w:t>Transformer分支训练波动较大，收敛速度慢于CNN分支</w:t>
      </w:r>
    </w:p>
    <w:p w14:paraId="381000DD">
      <w:pPr>
        <w:pStyle w:val="23"/>
      </w:pPr>
      <w:r>
        <w:t>集成策略目前为简单加权，未充分挖掘两分支的互补潜力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7CC66D"/>
    <w:rsid w:val="D3B5C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小新</cp:lastModifiedBy>
  <dcterms:modified xsi:type="dcterms:W3CDTF">2026-03-13T15:46:55Z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1033-12.1.2.23578</vt:lpwstr>
  </property>
  <property fmtid="{D5CDD505-2E9C-101B-9397-08002B2CF9AE}" pid="3" name="ICV">
    <vt:lpwstr>3889F7D4E2FACF73D2C0B36905AA7389_42</vt:lpwstr>
  </property>
</Properties>
</file>