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160"/>
        <w:jc w:val="center"/>
      </w:pPr>
      <w:r>
        <w:rPr>
          <w:rFonts w:ascii="Calibri" w:cs="Calibri" w:eastAsia="微软雅黑" w:hAnsi="Calibri"/>
          <w:b/>
          <w:bCs/>
          <w:color w:val="1F3864"/>
          <w:sz w:val="56"/>
          <w:szCs w:val="56"/>
        </w:rPr>
        <w:t xml:space="preserve">物料开发认证管理系统</w:t>
      </w:r>
    </w:p>
    <w:p>
      <w:pPr>
        <w:spacing w:after="240"/>
        <w:jc w:val="center"/>
      </w:pPr>
      <w:r>
        <w:rPr>
          <w:rFonts w:ascii="Calibri" w:cs="Calibri" w:eastAsia="微软雅黑" w:hAnsi="Calibri"/>
          <w:color w:val="44546A"/>
          <w:sz w:val="32"/>
          <w:szCs w:val="32"/>
        </w:rPr>
        <w:t xml:space="preserve">产品需求文档（PRD）</w:t>
      </w:r>
    </w:p>
    <w:p>
      <w:pPr>
        <w:pBdr>
          <w:bottom w:val="single" w:color="2E75B6" w:sz="8" w:space="6"/>
        </w:pBdr>
        <w:spacing w:after="320"/>
        <w:jc w:val="center"/>
      </w:pPr>
    </w:p>
    <w:p>
      <w:pPr>
        <w:spacing w:after="80"/>
        <w:jc w:val="center"/>
      </w:pPr>
      <w:r>
        <w:rPr>
          <w:rFonts w:ascii="Calibri" w:cs="Calibri" w:eastAsia="微软雅黑" w:hAnsi="Calibri"/>
          <w:color w:val="333333"/>
          <w:sz w:val="22"/>
          <w:szCs w:val="22"/>
        </w:rPr>
        <w:t xml:space="preserve">文档版本：V1.0（通用版基线）</w:t>
      </w:r>
    </w:p>
    <w:p>
      <w:pPr>
        <w:spacing w:after="80"/>
        <w:jc w:val="center"/>
      </w:pPr>
      <w:r>
        <w:rPr>
          <w:rFonts w:ascii="Calibri" w:cs="Calibri" w:eastAsia="微软雅黑" w:hAnsi="Calibri"/>
          <w:color w:val="333333"/>
          <w:sz w:val="22"/>
          <w:szCs w:val="22"/>
        </w:rPr>
        <w:t xml:space="preserve">文档性质：需求基线（现状验收依据 + 产品定义）</w:t>
      </w:r>
    </w:p>
    <w:p>
      <w:pPr>
        <w:spacing w:after="80"/>
        <w:jc w:val="center"/>
      </w:pPr>
      <w:r>
        <w:rPr>
          <w:rFonts w:ascii="Calibri" w:cs="Calibri" w:eastAsia="微软雅黑" w:hAnsi="Calibri"/>
          <w:color w:val="333333"/>
          <w:sz w:val="22"/>
          <w:szCs w:val="22"/>
        </w:rPr>
        <w:t xml:space="preserve">适用形态：企业内部本地 / 内网部署</w:t>
      </w:r>
    </w:p>
    <w:p>
      <w:pPr>
        <w:spacing w:after="80"/>
        <w:jc w:val="center"/>
      </w:pPr>
      <w:r>
        <w:rPr>
          <w:rFonts w:ascii="Calibri" w:cs="Calibri" w:eastAsia="微软雅黑" w:hAnsi="Calibri"/>
          <w:color w:val="333333"/>
          <w:sz w:val="22"/>
          <w:szCs w:val="22"/>
        </w:rPr>
        <w:t xml:space="preserve">编写日期：2026-09-11     密级：内部资料</w:t>
      </w:r>
    </w:p>
    <w:p>
      <w:pPr>
        <w:spacing w:before="700"/>
      </w:pPr>
    </w:p>
    <w:p>
      <w:pPr>
        <w:jc w:val="center"/>
      </w:pPr>
      <w:r>
        <w:rPr>
          <w:rFonts w:ascii="Calibri" w:cs="Calibri" w:eastAsia="微软雅黑" w:hAnsi="Calibri"/>
          <w:color w:val="7F7F7F"/>
          <w:sz w:val="19"/>
          <w:szCs w:val="19"/>
        </w:rPr>
        <w:t xml:space="preserve">本文档依据系统现有实现梳理，覆盖业务功能、权限模型、数据模型与验收标准。</w:t>
      </w:r>
    </w:p>
    <w:p>
      <w:r>
        <w:br w:type="page"/>
      </w:r>
    </w:p>
    <w:p>
      <w:pPr>
        <w:spacing w:after="200"/>
        <w:jc w:val="center"/>
      </w:pPr>
      <w:r>
        <w:rPr>
          <w:rFonts w:ascii="Calibri" w:cs="Calibri" w:eastAsia="微软雅黑" w:hAnsi="Calibri"/>
          <w:b/>
          <w:bCs/>
          <w:color w:val="1F3864"/>
          <w:sz w:val="32"/>
          <w:szCs w:val="32"/>
        </w:rPr>
        <w:t xml:space="preserve">目　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92"/>
        <w:gridCol w:w="6934"/>
      </w:tblGrid>
      <w:tr>
        <w:trPr>
          <w:tblHeader/>
        </w:trPr>
        <w:tc>
          <w:tcPr>
            <w:tcW w:type="dxa" w:w="20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项目</w:t>
            </w:r>
          </w:p>
        </w:tc>
        <w:tc>
          <w:tcPr>
            <w:tcW w:type="dxa" w:w="693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0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产品名称</w:t>
            </w:r>
          </w:p>
        </w:tc>
        <w:tc>
          <w:tcPr>
            <w:tcW w:type="dxa" w:w="693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物料开发认证管理系统（Material Cert Manager）</w:t>
            </w:r>
          </w:p>
        </w:tc>
      </w:tr>
      <w:tr>
        <w:trPr>
          <w:tblHeader w:val="false"/>
        </w:trPr>
        <w:tc>
          <w:tcPr>
            <w:tcW w:type="dxa" w:w="20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文档版本</w:t>
            </w:r>
          </w:p>
        </w:tc>
        <w:tc>
          <w:tcPr>
            <w:tcW w:type="dxa" w:w="693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V1.0（通用版基线）</w:t>
            </w:r>
          </w:p>
        </w:tc>
      </w:tr>
      <w:tr>
        <w:trPr>
          <w:tblHeader w:val="false"/>
        </w:trPr>
        <w:tc>
          <w:tcPr>
            <w:tcW w:type="dxa" w:w="20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文档性质</w:t>
            </w:r>
          </w:p>
        </w:tc>
        <w:tc>
          <w:tcPr>
            <w:tcW w:type="dxa" w:w="693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全量需求基线：既作为现状验收依据，也作为后续迭代的产品定义</w:t>
            </w:r>
          </w:p>
        </w:tc>
      </w:tr>
      <w:tr>
        <w:trPr>
          <w:tblHeader w:val="false"/>
        </w:trPr>
        <w:tc>
          <w:tcPr>
            <w:tcW w:type="dxa" w:w="20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适用形态</w:t>
            </w:r>
          </w:p>
        </w:tc>
        <w:tc>
          <w:tcPr>
            <w:tcW w:type="dxa" w:w="693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企业内部本地/内网部署（单进程服务 + 浏览器访问）</w:t>
            </w:r>
          </w:p>
        </w:tc>
      </w:tr>
      <w:tr>
        <w:trPr>
          <w:tblHeader w:val="false"/>
        </w:trPr>
        <w:tc>
          <w:tcPr>
            <w:tcW w:type="dxa" w:w="20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编写日期</w:t>
            </w:r>
          </w:p>
        </w:tc>
        <w:tc>
          <w:tcPr>
            <w:tcW w:type="dxa" w:w="693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2026-09-11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修订记录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1"/>
        <w:gridCol w:w="2416"/>
        <w:gridCol w:w="5029"/>
      </w:tblGrid>
      <w:tr>
        <w:trPr>
          <w:tblHeader/>
        </w:trPr>
        <w:tc>
          <w:tcPr>
            <w:tcW w:type="dxa" w:w="158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版本</w:t>
            </w:r>
          </w:p>
        </w:tc>
        <w:tc>
          <w:tcPr>
            <w:tcW w:type="dxa" w:w="241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日期</w:t>
            </w:r>
          </w:p>
        </w:tc>
        <w:tc>
          <w:tcPr>
            <w:tcW w:type="dxa" w:w="502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58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V1.0</w:t>
            </w:r>
          </w:p>
        </w:tc>
        <w:tc>
          <w:tcPr>
            <w:tcW w:type="dxa" w:w="241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2026-09-11</w:t>
            </w:r>
          </w:p>
        </w:tc>
        <w:tc>
          <w:tcPr>
            <w:tcW w:type="dxa" w:w="502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依据现有系统实现梳理的首版需求基线</w:t>
            </w:r>
          </w:p>
        </w:tc>
      </w:tr>
    </w:tbl>
    <w:p>
      <w:pPr>
        <w:spacing w:after="120" w:before="20"/>
      </w:pPr>
    </w:p>
    <w:p>
      <w:pPr>
        <w:pBdr>
          <w:bottom w:val="single" w:color="D6DCE4" w:sz="6" w:space="1"/>
        </w:pBdr>
        <w:spacing w:after="100" w:before="100"/>
      </w:pPr>
    </w:p>
    <w:p>
      <w:pPr>
        <w:pStyle w:val="Heading1"/>
        <w:pageBreakBefore/>
      </w:pPr>
      <w:r>
        <w:rPr>
          <w:rFonts w:ascii="Calibri" w:cs="Calibri" w:eastAsia="微软雅黑" w:hAnsi="Calibri"/>
          <w:b w:val="false"/>
          <w:bCs w:val="false"/>
        </w:rPr>
        <w:t xml:space="preserve">1. 产品概述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1.1 背景与问题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显示模组（LCD/背光/盖板/FPC 等）研发与量产过程中，涉及大量四级物料（胶材、光学膜材、玻璃盖板、FPC、背光器件等）的开发、认证、稽核与选型工作。现状痛点：</w:t>
      </w:r>
    </w:p>
    <w:p>
      <w:pPr>
        <w:pStyle w:val="ListParagraph"/>
        <w:numPr>
          <w:ilvl w:val="0"/>
          <w:numId w:val="2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物料认证状态不透明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：认证资料（ROHS / REACH / MSDS / 规格书）分散在个人电脑与邮件中，缺料/过期/失效状态无法一眼看清，重复开发与超期使用风险高。</w:t>
      </w:r>
    </w:p>
    <w:p>
      <w:pPr>
        <w:pStyle w:val="ListParagraph"/>
        <w:numPr>
          <w:ilvl w:val="0"/>
          <w:numId w:val="2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选型无查重口径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：新项目立项时无法快速判断"这个物料/供应商是否已有"，造成重复认证、重复稽核。</w:t>
      </w:r>
    </w:p>
    <w:p>
      <w:pPr>
        <w:pStyle w:val="ListParagraph"/>
        <w:numPr>
          <w:ilvl w:val="0"/>
          <w:numId w:val="2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供应商与稽核信息碎片化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：供应商能力、资质、历史稽核问题与改善情况没有结构化沉淀，稽核问题趋势无法量化。</w:t>
      </w:r>
    </w:p>
    <w:p>
      <w:pPr>
        <w:pStyle w:val="ListParagraph"/>
        <w:numPr>
          <w:ilvl w:val="0"/>
          <w:numId w:val="2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项目风险与预研专项缺跟踪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：在研项目风险点、预研专项里程碑（立项 / P1 / P2 / P3）仅有线下表格，风险跟踪与责任落实缺少抓手。</w:t>
      </w:r>
    </w:p>
    <w:p>
      <w:pPr>
        <w:pStyle w:val="ListParagraph"/>
        <w:numPr>
          <w:ilvl w:val="0"/>
          <w:numId w:val="2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文档录入成本高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：供应商提供的规格书、认证报告多为 PDF / Word / Excel，需人工逐字段抄录进系统。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1.2 产品定位与目标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一套面向显示模组行业物料开发的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内部管理型 B/S 系统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，覆盖「物料开发认证 → 选型查重 → 供应商与稽核 → 项目风险与预研 → BOM 信息」全链路，用统一数据底座把线下表格变成可查询、可统计、可导出的在线台账。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核心目标：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6"/>
        <w:gridCol w:w="6040"/>
      </w:tblGrid>
      <w:tr>
        <w:trPr>
          <w:tblHeader/>
        </w:trPr>
        <w:tc>
          <w:tcPr>
            <w:tcW w:type="dxa" w:w="29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目标</w:t>
            </w:r>
          </w:p>
        </w:tc>
        <w:tc>
          <w:tcPr>
            <w:tcW w:type="dxa" w:w="604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衡量方式</w:t>
            </w:r>
          </w:p>
        </w:tc>
      </w:tr>
      <w:tr>
        <w:trPr>
          <w:tblHeader w:val="false"/>
        </w:trPr>
        <w:tc>
          <w:tcPr>
            <w:tcW w:type="dxa" w:w="29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物料认证状态可视</w:t>
            </w:r>
          </w:p>
        </w:tc>
        <w:tc>
          <w:tcPr>
            <w:tcW w:type="dxa" w:w="604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物料汇总表可按 绿区/黄区/红区 筛选，看板给出三区占比与资料覆盖率</w:t>
            </w:r>
          </w:p>
        </w:tc>
      </w:tr>
      <w:tr>
        <w:trPr>
          <w:tblHeader w:val="false"/>
        </w:trPr>
        <w:tc>
          <w:tcPr>
            <w:tcW w:type="dxa" w:w="29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选型避免重复开发</w:t>
            </w:r>
          </w:p>
        </w:tc>
        <w:tc>
          <w:tcPr>
            <w:tcW w:type="dxa" w:w="604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提供查重接口，输入名称/型号/编码即可判断是否在库，并给出相似物料</w:t>
            </w:r>
          </w:p>
        </w:tc>
      </w:tr>
      <w:tr>
        <w:trPr>
          <w:tblHeader w:val="false"/>
        </w:trPr>
        <w:tc>
          <w:tcPr>
            <w:tcW w:type="dxa" w:w="29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供应商能力与稽核可追溯</w:t>
            </w:r>
          </w:p>
        </w:tc>
        <w:tc>
          <w:tcPr>
            <w:tcW w:type="dxa" w:w="604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供应商台账 + 稽核记录 + 稽核问题趋势（年度/月度）</w:t>
            </w:r>
          </w:p>
        </w:tc>
      </w:tr>
      <w:tr>
        <w:trPr>
          <w:tblHeader w:val="false"/>
        </w:trPr>
        <w:tc>
          <w:tcPr>
            <w:tcW w:type="dxa" w:w="29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项目风险与里程碑可跟踪</w:t>
            </w:r>
          </w:p>
        </w:tc>
        <w:tc>
          <w:tcPr>
            <w:tcW w:type="dxa" w:w="604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在研项目风险清单（一行=一个风险点）+ 预研专项（立项/P1/P2/P3）</w:t>
            </w:r>
          </w:p>
        </w:tc>
      </w:tr>
      <w:tr>
        <w:trPr>
          <w:tblHeader w:val="false"/>
        </w:trPr>
        <w:tc>
          <w:tcPr>
            <w:tcW w:type="dxa" w:w="29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录入成本下降</w:t>
            </w:r>
          </w:p>
        </w:tc>
        <w:tc>
          <w:tcPr>
            <w:tcW w:type="dxa" w:w="604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支持 Excel 批量导入；支持 PDF/DOCX/XLSX 文档自动提取字段（AI 可选）</w:t>
            </w:r>
          </w:p>
        </w:tc>
      </w:tr>
      <w:tr>
        <w:trPr>
          <w:tblHeader w:val="false"/>
        </w:trPr>
        <w:tc>
          <w:tcPr>
            <w:tcW w:type="dxa" w:w="29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数据范围可控</w:t>
            </w:r>
          </w:p>
        </w:tc>
        <w:tc>
          <w:tcPr>
            <w:tcW w:type="dxa" w:w="604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按品类/供应商给用户授权，用户仅见其负责范围的数据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1.3 目标用户与典型场景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37"/>
        <w:gridCol w:w="5889"/>
      </w:tblGrid>
      <w:tr>
        <w:trPr>
          <w:tblHeader/>
        </w:trPr>
        <w:tc>
          <w:tcPr>
            <w:tcW w:type="dxa" w:w="313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角色（业务视角）</w:t>
            </w:r>
          </w:p>
        </w:tc>
        <w:tc>
          <w:tcPr>
            <w:tcW w:type="dxa" w:w="588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典型场景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物料工程师</w:t>
            </w:r>
          </w:p>
        </w:tc>
        <w:tc>
          <w:tcPr>
            <w:tcW w:type="dxa" w:w="588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新建物料、维护认证状态与资料齐套、跟踪 90 天内到期物料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选型工程师</w:t>
            </w:r>
          </w:p>
        </w:tc>
        <w:tc>
          <w:tcPr>
            <w:tcW w:type="dxa" w:w="588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新物料立项前查重、维护 AVL 候选供应商清单与三四级物料清单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供应商质量工程师（SQE）</w:t>
            </w:r>
          </w:p>
        </w:tc>
        <w:tc>
          <w:tcPr>
            <w:tcW w:type="dxa" w:w="588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维护供应商能力档案、登记稽核记录、分析稽核问题趋势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项目/预研负责人</w:t>
            </w:r>
          </w:p>
        </w:tc>
        <w:tc>
          <w:tcPr>
            <w:tcW w:type="dxa" w:w="588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登记在研项目风险点与进度措施、维护预研专项里程碑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部门管理者</w:t>
            </w:r>
          </w:p>
        </w:tc>
        <w:tc>
          <w:tcPr>
            <w:tcW w:type="dxa" w:w="588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通过各模块「分析看板」了解认证、稽核、供应商、项目风险整体分布</w:t>
            </w:r>
          </w:p>
        </w:tc>
      </w:tr>
      <w:tr>
        <w:trPr>
          <w:tblHeader w:val="false"/>
        </w:trPr>
        <w:tc>
          <w:tcPr>
            <w:tcW w:type="dxa" w:w="313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系统管理员</w:t>
            </w:r>
          </w:p>
        </w:tc>
        <w:tc>
          <w:tcPr>
            <w:tcW w:type="dxa" w:w="588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维护用户、角色、权限、数据范围与三级品类树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1.4 版本范围（V1.0）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本期包含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：登录与权限、物料汇总表、选型、项目（在研/预研）、稽核、BOM 信息、供应商信息、关键工艺（QCP）、品类管理、系统管理，以及批量导入导出、文档解析与 AI 提取、附件上传等通用能力。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本期不含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（见第 9 章）：多级审批流与电子签核、消息通知/邮件提醒、外部系统（ERP/MES/PLM）对接、移动端原生 App、字段级权限、操作审计日志查询界面。</w:t>
      </w:r>
    </w:p>
    <w:p>
      <w:pPr>
        <w:pBdr>
          <w:bottom w:val="single" w:color="D6DCE4" w:sz="6" w:space="1"/>
        </w:pBdr>
        <w:spacing w:after="100" w:before="100"/>
      </w:pPr>
    </w:p>
    <w:p>
      <w:pPr>
        <w:pStyle w:val="Heading1"/>
        <w:pageBreakBefore/>
      </w:pPr>
      <w:r>
        <w:rPr>
          <w:rFonts w:ascii="Calibri" w:cs="Calibri" w:eastAsia="微软雅黑" w:hAnsi="Calibri"/>
          <w:b w:val="false"/>
          <w:bCs w:val="false"/>
        </w:rPr>
        <w:t xml:space="preserve">2. 系统形态与总体架构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2.1 部署形态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5"/>
        <w:gridCol w:w="6331"/>
      </w:tblGrid>
      <w:tr>
        <w:trPr>
          <w:tblHeader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形态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单机模式（默认）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单个 Node 进程同时托管前端页面、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/api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接口与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/uploads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附件，浏览器直连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:3000</w:t>
            </w:r>
          </w:p>
        </w:tc>
      </w:tr>
      <w:tr>
        <w:trPr>
          <w:tblHeader w:val="false"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前后端分离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SERVE_STATIC=0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HOST=127.0.0.1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，前端静态资源交 Nginx 反向代理，后端只提供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/api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与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/uploads</w:t>
            </w:r>
          </w:p>
        </w:tc>
      </w:tr>
      <w:tr>
        <w:trPr>
          <w:tblHeader w:val="false"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容器部署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根目录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Dockerfile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基于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node:24-slim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npm ci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后启动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server.js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（云托管/容器平台）</w:t>
            </w:r>
          </w:p>
        </w:tc>
      </w:tr>
      <w:tr>
        <w:trPr>
          <w:tblHeader w:val="false"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Java 迁移版（并行实现）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backend/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为 Spring Boot 3 + MySQL 8 的同契约实现，前端产物无需改动、挂载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/app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，接口契约与 Node 版一致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2.2 技术栈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2"/>
        <w:gridCol w:w="4227"/>
        <w:gridCol w:w="3377"/>
      </w:tblGrid>
      <w:tr>
        <w:trPr>
          <w:tblHeader/>
        </w:trPr>
        <w:tc>
          <w:tcPr>
            <w:tcW w:type="dxa" w:w="142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层</w:t>
            </w:r>
          </w:p>
        </w:tc>
        <w:tc>
          <w:tcPr>
            <w:tcW w:type="dxa" w:w="422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Node 版（默认交付形态）</w:t>
            </w:r>
          </w:p>
        </w:tc>
        <w:tc>
          <w:tcPr>
            <w:tcW w:type="dxa" w:w="337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Java 迁移版（可选）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运行时</w:t>
            </w:r>
          </w:p>
        </w:tc>
        <w:tc>
          <w:tcPr>
            <w:tcW w:type="dxa" w:w="422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Node.js ≥ 22.5（推荐 24 LTS），使用内置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node:sqlite</w:t>
            </w:r>
          </w:p>
        </w:tc>
        <w:tc>
          <w:tcPr>
            <w:tcW w:type="dxa" w:w="337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JDK 17+ / Spring Boot 3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数据存储</w:t>
            </w:r>
          </w:p>
        </w:tc>
        <w:tc>
          <w:tcPr>
            <w:tcW w:type="dxa" w:w="422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SQLite 单文件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data/materials.db</w:t>
            </w:r>
          </w:p>
        </w:tc>
        <w:tc>
          <w:tcPr>
            <w:tcW w:type="dxa" w:w="337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MySQL 8（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material_cert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库，启动执行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schema.sql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服务端</w:t>
            </w:r>
          </w:p>
        </w:tc>
        <w:tc>
          <w:tcPr>
            <w:tcW w:type="dxa" w:w="422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Express 4 + express-session</w:t>
            </w:r>
          </w:p>
        </w:tc>
        <w:tc>
          <w:tcPr>
            <w:tcW w:type="dxa" w:w="337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Spring Boot MVC + JdbcTemplate（无 JPA）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前端</w:t>
            </w:r>
          </w:p>
        </w:tc>
        <w:tc>
          <w:tcPr>
            <w:tcW w:type="dxa" w:w="422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React 18 + Vite + Zustand + React Router + ECharts（构建产物挂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/app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</w:t>
            </w:r>
          </w:p>
        </w:tc>
        <w:tc>
          <w:tcPr>
            <w:tcW w:type="dxa" w:w="337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同左，完全复用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旧版前端</w:t>
            </w:r>
          </w:p>
        </w:tc>
        <w:tc>
          <w:tcPr>
            <w:tcW w:type="dxa" w:w="422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public/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多页静态站点（原生 JS），与新 SPA 并存、渐进迁移</w:t>
            </w:r>
          </w:p>
        </w:tc>
        <w:tc>
          <w:tcPr>
            <w:tcW w:type="dxa" w:w="337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文档解析</w:t>
            </w:r>
          </w:p>
        </w:tc>
        <w:tc>
          <w:tcPr>
            <w:tcW w:type="dxa" w:w="422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pdf-parse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mammoth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xlsx</w:t>
            </w:r>
          </w:p>
        </w:tc>
        <w:tc>
          <w:tcPr>
            <w:tcW w:type="dxa" w:w="337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同能力</w:t>
            </w:r>
          </w:p>
        </w:tc>
      </w:tr>
      <w:tr>
        <w:trPr>
          <w:tblHeader w:val="false"/>
        </w:trPr>
        <w:tc>
          <w:tcPr>
            <w:tcW w:type="dxa" w:w="142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导出</w:t>
            </w:r>
          </w:p>
        </w:tc>
        <w:tc>
          <w:tcPr>
            <w:tcW w:type="dxa" w:w="422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xlsx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生成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.xlsx</w:t>
            </w:r>
          </w:p>
        </w:tc>
        <w:tc>
          <w:tcPr>
            <w:tcW w:type="dxa" w:w="337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自实现轻量 xlsx 写入器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2.3 无构建依赖的交付约束（仅 Node 版）</w:t>
      </w:r>
    </w:p>
    <w:p>
      <w:pPr>
        <w:spacing w:after="60" w:before="60" w:line="300"/>
        <w:jc w:val="both"/>
      </w:pP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db.js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在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require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时立即执行建表与迁移，因此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修改 </w:t>
      </w:r>
      <w:r>
        <w:rPr>
          <w:rFonts w:ascii="Consolas" w:cs="Consolas" w:eastAsia="微软雅黑" w:hAnsi="Consolas"/>
          <w:b/>
          <w:bCs/>
          <w:color w:val="A8300F"/>
          <w:sz w:val="21"/>
          <w:szCs w:val="21"/>
          <w:shd w:fill="F5F7F9" w:val="clear"/>
        </w:rPr>
        <w:t xml:space="preserve">db.js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 必须重启进程才生效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；新增业务字段必须同时改「建表语句 + 迁移 IIFE + 服务端字段白名单 + 前端表头/表单」，否则会出现「库里存了但前端看不见 / 导入列对不上」。</w:t>
      </w:r>
    </w:p>
    <w:p>
      <w:pPr>
        <w:pBdr>
          <w:bottom w:val="single" w:color="D6DCE4" w:sz="6" w:space="1"/>
        </w:pBdr>
        <w:spacing w:after="100" w:before="100"/>
      </w:pPr>
    </w:p>
    <w:p>
      <w:pPr>
        <w:pStyle w:val="Heading1"/>
        <w:pageBreakBefore/>
      </w:pPr>
      <w:r>
        <w:rPr>
          <w:rFonts w:ascii="Calibri" w:cs="Calibri" w:eastAsia="微软雅黑" w:hAnsi="Calibri"/>
          <w:b w:val="false"/>
          <w:bCs w:val="false"/>
        </w:rPr>
        <w:t xml:space="preserve">3. 角色与权限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3.1 权限模型：四层防线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1211"/>
        <w:gridCol w:w="3066"/>
        <w:gridCol w:w="3625"/>
      </w:tblGrid>
      <w:tr>
        <w:trPr>
          <w:tblHeader/>
        </w:trPr>
        <w:tc>
          <w:tcPr>
            <w:tcW w:type="dxa" w:w="112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层级</w:t>
            </w:r>
          </w:p>
        </w:tc>
        <w:tc>
          <w:tcPr>
            <w:tcW w:type="dxa" w:w="121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名称</w:t>
            </w:r>
          </w:p>
        </w:tc>
        <w:tc>
          <w:tcPr>
            <w:tcW w:type="dxa" w:w="306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机制</w:t>
            </w:r>
          </w:p>
        </w:tc>
        <w:tc>
          <w:tcPr>
            <w:tcW w:type="dxa" w:w="36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拦截点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第一层</w:t>
            </w:r>
          </w:p>
        </w:tc>
        <w:tc>
          <w:tcPr>
            <w:tcW w:type="dxa" w:w="121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会话准入</w:t>
            </w:r>
          </w:p>
        </w:tc>
        <w:tc>
          <w:tcPr>
            <w:tcW w:type="dxa" w:w="306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express-session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，cookie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sid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，有效期 12 小时</w:t>
            </w:r>
          </w:p>
        </w:tc>
        <w:tc>
          <w:tcPr>
            <w:tcW w:type="dxa" w:w="36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除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/api/login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/api/logout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外所有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/api/*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必须登录；401 时前端自动跳登录页并带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redirect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第二层</w:t>
            </w:r>
          </w:p>
        </w:tc>
        <w:tc>
          <w:tcPr>
            <w:tcW w:type="dxa" w:w="121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功能权限</w:t>
            </w:r>
          </w:p>
        </w:tc>
        <w:tc>
          <w:tcPr>
            <w:tcW w:type="dxa" w:w="306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permissions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代码清单 + 角色（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roles ↔ role_permissions ↔ user_roles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</w:t>
            </w:r>
          </w:p>
        </w:tc>
        <w:tc>
          <w:tcPr>
            <w:tcW w:type="dxa" w:w="36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接口声明式守卫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requirePermission('action:edit')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等；前端按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page:*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隐藏菜单、按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action:*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隐藏按钮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第三层</w:t>
            </w:r>
          </w:p>
        </w:tc>
        <w:tc>
          <w:tcPr>
            <w:tcW w:type="dxa" w:w="121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数据范围</w:t>
            </w:r>
          </w:p>
        </w:tc>
        <w:tc>
          <w:tcPr>
            <w:tcW w:type="dxa" w:w="306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user_category_scopes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（品类）、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user_supplier_scopes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（供应商）</w:t>
            </w:r>
          </w:p>
        </w:tc>
        <w:tc>
          <w:tcPr>
            <w:tcW w:type="dxa" w:w="36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列表/统计/导出/元数据接口统一经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scopeWhere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注入过滤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第四层</w:t>
            </w:r>
          </w:p>
        </w:tc>
        <w:tc>
          <w:tcPr>
            <w:tcW w:type="dxa" w:w="121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特殊规则</w:t>
            </w:r>
          </w:p>
        </w:tc>
        <w:tc>
          <w:tcPr>
            <w:tcW w:type="dxa" w:w="306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管理员专属菜单、内置角色修正</w:t>
            </w:r>
          </w:p>
        </w:tc>
        <w:tc>
          <w:tcPr>
            <w:tcW w:type="dxa" w:w="36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page:admin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page:categories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为管理员专属；服务启动时持续修正角色权限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3.2 权限码清单（内置）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菜单权限（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page:*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）：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8"/>
        <w:gridCol w:w="1886"/>
        <w:gridCol w:w="1321"/>
        <w:gridCol w:w="3521"/>
      </w:tblGrid>
      <w:tr>
        <w:trPr>
          <w:tblHeader/>
        </w:trPr>
        <w:tc>
          <w:tcPr>
            <w:tcW w:type="dxa" w:w="22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权限码</w:t>
            </w:r>
          </w:p>
        </w:tc>
        <w:tc>
          <w:tcPr>
            <w:tcW w:type="dxa" w:w="18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显示名</w:t>
            </w:r>
          </w:p>
        </w:tc>
        <w:tc>
          <w:tcPr>
            <w:tcW w:type="dxa" w:w="13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排序</w:t>
            </w:r>
          </w:p>
        </w:tc>
        <w:tc>
          <w:tcPr>
            <w:tcW w:type="dxa" w:w="35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22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page:index</w:t>
            </w:r>
          </w:p>
        </w:tc>
        <w:tc>
          <w:tcPr>
            <w:tcW w:type="dxa" w:w="18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物料汇总表</w:t>
            </w:r>
          </w:p>
        </w:tc>
        <w:tc>
          <w:tcPr>
            <w:tcW w:type="dxa" w:w="13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5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登录后默认落地页</w:t>
            </w:r>
          </w:p>
        </w:tc>
      </w:tr>
      <w:tr>
        <w:trPr>
          <w:tblHeader w:val="false"/>
        </w:trPr>
        <w:tc>
          <w:tcPr>
            <w:tcW w:type="dxa" w:w="22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page:prestudy</w:t>
            </w:r>
          </w:p>
        </w:tc>
        <w:tc>
          <w:tcPr>
            <w:tcW w:type="dxa" w:w="18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项目</w:t>
            </w:r>
          </w:p>
        </w:tc>
        <w:tc>
          <w:tcPr>
            <w:tcW w:type="dxa" w:w="13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35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在研项目 + 预研专项</w:t>
            </w:r>
          </w:p>
        </w:tc>
      </w:tr>
      <w:tr>
        <w:trPr>
          <w:tblHeader w:val="false"/>
        </w:trPr>
        <w:tc>
          <w:tcPr>
            <w:tcW w:type="dxa" w:w="22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page:selection</w:t>
            </w:r>
          </w:p>
        </w:tc>
        <w:tc>
          <w:tcPr>
            <w:tcW w:type="dxa" w:w="18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选型</w:t>
            </w:r>
          </w:p>
        </w:tc>
        <w:tc>
          <w:tcPr>
            <w:tcW w:type="dxa" w:w="13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30</w:t>
            </w:r>
          </w:p>
        </w:tc>
        <w:tc>
          <w:tcPr>
            <w:tcW w:type="dxa" w:w="35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AVL 清单 + 三四级物料清单 + 看板</w:t>
            </w:r>
          </w:p>
        </w:tc>
      </w:tr>
      <w:tr>
        <w:trPr>
          <w:tblHeader w:val="false"/>
        </w:trPr>
        <w:tc>
          <w:tcPr>
            <w:tcW w:type="dxa" w:w="22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page:audits</w:t>
            </w:r>
          </w:p>
        </w:tc>
        <w:tc>
          <w:tcPr>
            <w:tcW w:type="dxa" w:w="18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稽核</w:t>
            </w:r>
          </w:p>
        </w:tc>
        <w:tc>
          <w:tcPr>
            <w:tcW w:type="dxa" w:w="13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35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page:projects</w:t>
            </w:r>
          </w:p>
        </w:tc>
        <w:tc>
          <w:tcPr>
            <w:tcW w:type="dxa" w:w="18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BOM信息</w:t>
            </w:r>
          </w:p>
        </w:tc>
        <w:tc>
          <w:tcPr>
            <w:tcW w:type="dxa" w:w="13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50</w:t>
            </w:r>
          </w:p>
        </w:tc>
        <w:tc>
          <w:tcPr>
            <w:tcW w:type="dxa" w:w="35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page:suppliers</w:t>
            </w:r>
          </w:p>
        </w:tc>
        <w:tc>
          <w:tcPr>
            <w:tcW w:type="dxa" w:w="18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供应商信息</w:t>
            </w:r>
          </w:p>
        </w:tc>
        <w:tc>
          <w:tcPr>
            <w:tcW w:type="dxa" w:w="13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60</w:t>
            </w:r>
          </w:p>
        </w:tc>
        <w:tc>
          <w:tcPr>
            <w:tcW w:type="dxa" w:w="35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page:categories</w:t>
            </w:r>
          </w:p>
        </w:tc>
        <w:tc>
          <w:tcPr>
            <w:tcW w:type="dxa" w:w="18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品类</w:t>
            </w:r>
          </w:p>
        </w:tc>
        <w:tc>
          <w:tcPr>
            <w:tcW w:type="dxa" w:w="13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65</w:t>
            </w:r>
          </w:p>
        </w:tc>
        <w:tc>
          <w:tcPr>
            <w:tcW w:type="dxa" w:w="35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/>
                <w:bCs/>
                <w:color w:val="000000"/>
                <w:sz w:val="19"/>
                <w:szCs w:val="19"/>
              </w:rPr>
              <w:t xml:space="preserve">管理员专属</w:t>
            </w:r>
          </w:p>
        </w:tc>
      </w:tr>
      <w:tr>
        <w:trPr>
          <w:tblHeader w:val="false"/>
        </w:trPr>
        <w:tc>
          <w:tcPr>
            <w:tcW w:type="dxa" w:w="22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page:qcps</w:t>
            </w:r>
          </w:p>
        </w:tc>
        <w:tc>
          <w:tcPr>
            <w:tcW w:type="dxa" w:w="18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关键工艺</w:t>
            </w:r>
          </w:p>
        </w:tc>
        <w:tc>
          <w:tcPr>
            <w:tcW w:type="dxa" w:w="13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70</w:t>
            </w:r>
          </w:p>
        </w:tc>
        <w:tc>
          <w:tcPr>
            <w:tcW w:type="dxa" w:w="35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2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page:admin</w:t>
            </w:r>
          </w:p>
        </w:tc>
        <w:tc>
          <w:tcPr>
            <w:tcW w:type="dxa" w:w="188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系统管理</w:t>
            </w:r>
          </w:p>
        </w:tc>
        <w:tc>
          <w:tcPr>
            <w:tcW w:type="dxa" w:w="13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200</w:t>
            </w:r>
          </w:p>
        </w:tc>
        <w:tc>
          <w:tcPr>
            <w:tcW w:type="dxa" w:w="352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/>
                <w:bCs/>
                <w:color w:val="000000"/>
                <w:sz w:val="19"/>
                <w:szCs w:val="19"/>
              </w:rPr>
              <w:t xml:space="preserve">管理员专属</w:t>
            </w:r>
          </w:p>
        </w:tc>
      </w:tr>
    </w:tbl>
    <w:p>
      <w:pPr>
        <w:spacing w:after="120" w:before="20"/>
      </w:pP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操作权限（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action:*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）：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action:create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（新增，100）、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action:edit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（编辑，110）、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action:delete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（删除，120）、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action:export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（导出，130）、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action:import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（导入，140）。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3.3 内置角色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0"/>
        <w:gridCol w:w="1792"/>
        <w:gridCol w:w="4329"/>
        <w:gridCol w:w="1275"/>
      </w:tblGrid>
      <w:tr>
        <w:trPr>
          <w:tblHeader/>
        </w:trPr>
        <w:tc>
          <w:tcPr>
            <w:tcW w:type="dxa" w:w="163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角色编码</w:t>
            </w:r>
          </w:p>
        </w:tc>
        <w:tc>
          <w:tcPr>
            <w:tcW w:type="dxa" w:w="17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名称</w:t>
            </w:r>
          </w:p>
        </w:tc>
        <w:tc>
          <w:tcPr>
            <w:tcW w:type="dxa" w:w="432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权限范围</w:t>
            </w:r>
          </w:p>
        </w:tc>
        <w:tc>
          <w:tcPr>
            <w:tcW w:type="dxa" w:w="127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内置</w:t>
            </w:r>
          </w:p>
        </w:tc>
      </w:tr>
      <w:tr>
        <w:trPr>
          <w:tblHeader w:val="false"/>
        </w:trPr>
        <w:tc>
          <w:tcPr>
            <w:tcW w:type="dxa" w:w="163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admin</w:t>
            </w:r>
          </w:p>
        </w:tc>
        <w:tc>
          <w:tcPr>
            <w:tcW w:type="dxa" w:w="17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超级管理员</w:t>
            </w:r>
          </w:p>
        </w:tc>
        <w:tc>
          <w:tcPr>
            <w:tcW w:type="dxa" w:w="432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全部菜单 + 全部操作</w:t>
            </w:r>
          </w:p>
        </w:tc>
        <w:tc>
          <w:tcPr>
            <w:tcW w:type="dxa" w:w="127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63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editor</w:t>
            </w:r>
          </w:p>
        </w:tc>
        <w:tc>
          <w:tcPr>
            <w:tcW w:type="dxa" w:w="17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编辑用户</w:t>
            </w:r>
          </w:p>
        </w:tc>
        <w:tc>
          <w:tcPr>
            <w:tcW w:type="dxa" w:w="432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全部业务菜单（不含系统管理、品类）+ 全部操作</w:t>
            </w:r>
          </w:p>
        </w:tc>
        <w:tc>
          <w:tcPr>
            <w:tcW w:type="dxa" w:w="127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是</w:t>
            </w:r>
          </w:p>
        </w:tc>
      </w:tr>
      <w:tr>
        <w:trPr>
          <w:tblHeader w:val="false"/>
        </w:trPr>
        <w:tc>
          <w:tcPr>
            <w:tcW w:type="dxa" w:w="163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readonly</w:t>
            </w:r>
          </w:p>
        </w:tc>
        <w:tc>
          <w:tcPr>
            <w:tcW w:type="dxa" w:w="17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只读用户</w:t>
            </w:r>
          </w:p>
        </w:tc>
        <w:tc>
          <w:tcPr>
            <w:tcW w:type="dxa" w:w="432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全部业务菜单（不含系统管理、品类），无任何操作权限</w:t>
            </w:r>
          </w:p>
        </w:tc>
        <w:tc>
          <w:tcPr>
            <w:tcW w:type="dxa" w:w="127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是</w:t>
            </w:r>
          </w:p>
        </w:tc>
      </w:tr>
    </w:tbl>
    <w:p>
      <w:pPr>
        <w:spacing w:after="120" w:before="20"/>
      </w:pP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内置角色仅在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首次初始化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时创建（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sys_flags.roles_seeded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标记）；管理员删除内置角色后重启不会自动重建。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3.4 权限规则细则</w:t>
      </w:r>
    </w:p>
    <w:p>
      <w:pPr>
        <w:pStyle w:val="ListParagraph"/>
        <w:numPr>
          <w:ilvl w:val="0"/>
          <w:numId w:val="3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超级管理员（</w:t>
      </w:r>
      <w:r>
        <w:rPr>
          <w:rFonts w:ascii="Consolas" w:cs="Consolas" w:eastAsia="微软雅黑" w:hAnsi="Consolas"/>
          <w:b/>
          <w:bCs/>
          <w:color w:val="A8300F"/>
          <w:sz w:val="21"/>
          <w:szCs w:val="21"/>
          <w:shd w:fill="F5F7F9" w:val="clear"/>
        </w:rPr>
        <w:t xml:space="preserve">is_super=1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）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：跳过所有权限与数据范围校验。</w:t>
      </w:r>
    </w:p>
    <w:p>
      <w:pPr>
        <w:pStyle w:val="ListParagraph"/>
        <w:numPr>
          <w:ilvl w:val="0"/>
          <w:numId w:val="3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账号 ↔ 专属角色同步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：新建用户时自动创建同名专属角色（编码=账号、名称=姓名），并授予 7 个业务菜单权限后自动分配给该用户；修改账号/姓名会同步更新该专属角色编码/名称；删除用户时若其专属角色未被其他用户使用则一并清理。</w:t>
      </w:r>
    </w:p>
    <w:p>
      <w:pPr>
        <w:pStyle w:val="ListParagraph"/>
        <w:numPr>
          <w:ilvl w:val="0"/>
          <w:numId w:val="3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品类菜单管理员专属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：任何未持有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page:admin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的角色不得持有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page:categories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；创建/编辑角色时自动过滤，服务启动时也会持续回收违规授权，并为管理员级角色自动补齐。</w:t>
      </w:r>
    </w:p>
    <w:p>
      <w:pPr>
        <w:pStyle w:val="ListParagraph"/>
        <w:numPr>
          <w:ilvl w:val="0"/>
          <w:numId w:val="3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只读角色不得持有系统管理菜单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：启动时强制回收。</w:t>
      </w:r>
    </w:p>
    <w:p>
      <w:pPr>
        <w:pStyle w:val="ListParagraph"/>
        <w:numPr>
          <w:ilvl w:val="0"/>
          <w:numId w:val="3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不能删除当前登录账号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3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密码策略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：当前为明文存储（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users.password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），仅限内网使用；生产部署建议前置网关或改造为哈希存储（见第 9 章）。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3.5 数据范围规则（</w:t>
      </w:r>
      <w:r>
        <w:rPr>
          <w:rFonts w:ascii="Consolas" w:cs="Consolas" w:eastAsia="微软雅黑" w:hAnsi="Consolas"/>
          <w:b w:val="false"/>
          <w:bCs w:val="false"/>
          <w:color w:val="A8300F"/>
          <w:shd w:fill="F5F7F9" w:val="clear"/>
        </w:rPr>
        <w:t xml:space="preserve">scopeWhere</w:t>
      </w:r>
      <w:r>
        <w:rPr>
          <w:rFonts w:ascii="Calibri" w:cs="Calibri" w:eastAsia="微软雅黑" w:hAnsi="Calibri"/>
          <w:b w:val="false"/>
          <w:bCs w:val="false"/>
        </w:rPr>
        <w:t xml:space="preserve">）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36"/>
        <w:gridCol w:w="5090"/>
      </w:tblGrid>
      <w:tr>
        <w:trPr>
          <w:tblHeader/>
        </w:trPr>
        <w:tc>
          <w:tcPr>
            <w:tcW w:type="dxa" w:w="393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场景</w:t>
            </w:r>
          </w:p>
        </w:tc>
        <w:tc>
          <w:tcPr>
            <w:tcW w:type="dxa" w:w="50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行为</w:t>
            </w:r>
          </w:p>
        </w:tc>
      </w:tr>
      <w:tr>
        <w:trPr>
          <w:tblHeader w:val="false"/>
        </w:trPr>
        <w:tc>
          <w:tcPr>
            <w:tcW w:type="dxa" w:w="393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用户未被授予任何品类/供应商范围（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allowAllWhenEmpty = true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</w:t>
            </w:r>
          </w:p>
        </w:tc>
        <w:tc>
          <w:tcPr>
            <w:tcW w:type="dxa" w:w="50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视为</w:t>
            </w:r>
            <w:r>
              <w:rPr>
                <w:rFonts w:ascii="Calibri" w:cs="Calibri" w:eastAsia="微软雅黑" w:hAnsi="Calibri"/>
                <w:b/>
                <w:bCs/>
                <w:color w:val="000000"/>
                <w:sz w:val="19"/>
                <w:szCs w:val="19"/>
              </w:rPr>
              <w:t xml:space="preserve">可见全部</w:t>
            </w:r>
          </w:p>
        </w:tc>
      </w:tr>
      <w:tr>
        <w:trPr>
          <w:tblHeader w:val="false"/>
        </w:trPr>
        <w:tc>
          <w:tcPr>
            <w:tcW w:type="dxa" w:w="393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用户被授予品类范围</w:t>
            </w:r>
          </w:p>
        </w:tc>
        <w:tc>
          <w:tcPr>
            <w:tcW w:type="dxa" w:w="50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条件为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category IN (授权品类) OR category = '' OR category IS NULL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（空品类记录始终可见）</w:t>
            </w:r>
          </w:p>
        </w:tc>
      </w:tr>
      <w:tr>
        <w:trPr>
          <w:tblHeader w:val="false"/>
        </w:trPr>
        <w:tc>
          <w:tcPr>
            <w:tcW w:type="dxa" w:w="393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用户被授予供应商范围</w:t>
            </w:r>
          </w:p>
        </w:tc>
        <w:tc>
          <w:tcPr>
            <w:tcW w:type="dxa" w:w="50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条件为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supplier IN (授权供应商)</w:t>
            </w:r>
          </w:p>
        </w:tc>
      </w:tr>
      <w:tr>
        <w:trPr>
          <w:tblHeader w:val="false"/>
        </w:trPr>
        <w:tc>
          <w:tcPr>
            <w:tcW w:type="dxa" w:w="393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供应商模块的品类字段</w:t>
            </w:r>
          </w:p>
        </w:tc>
        <w:tc>
          <w:tcPr>
            <w:tcW w:type="dxa" w:w="50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使用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suppliers.material_type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作为品类过滤字段</w:t>
            </w:r>
          </w:p>
        </w:tc>
      </w:tr>
      <w:tr>
        <w:trPr>
          <w:tblHeader w:val="false"/>
        </w:trPr>
        <w:tc>
          <w:tcPr>
            <w:tcW w:type="dxa" w:w="393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allowAllWhenEmpty = false</w:t>
            </w:r>
          </w:p>
        </w:tc>
        <w:tc>
          <w:tcPr>
            <w:tcW w:type="dxa" w:w="50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未授权即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1=0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（当前业务接口均使用默认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true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</w:t>
            </w:r>
          </w:p>
        </w:tc>
      </w:tr>
    </w:tbl>
    <w:p>
      <w:pPr>
        <w:spacing w:after="120" w:before="20"/>
      </w:pPr>
    </w:p>
    <w:p>
      <w:pPr>
        <w:pBdr>
          <w:left w:val="single" w:color="B7C7DA" w:sz="12" w:space="8"/>
        </w:pBdr>
        <w:shd w:fill="F7FAFD" w:val="clear"/>
        <w:spacing w:after="40" w:before="40" w:line="288"/>
        <w:ind w:left="360"/>
      </w:pPr>
      <w:r>
        <w:rPr>
          <w:rFonts w:ascii="Calibri" w:cs="Calibri" w:eastAsia="微软雅黑" w:hAnsi="Calibri"/>
          <w:b w:val="false"/>
          <w:bCs w:val="false"/>
          <w:color w:val="44546A"/>
          <w:sz w:val="20"/>
          <w:szCs w:val="20"/>
        </w:rPr>
        <w:t xml:space="preserve">说明：</w:t>
      </w:r>
      <w:r>
        <w:rPr>
          <w:rFonts w:ascii="Consolas" w:cs="Consolas" w:eastAsia="微软雅黑" w:hAnsi="Consolas"/>
          <w:b w:val="false"/>
          <w:bCs w:val="false"/>
          <w:color w:val="A8300F"/>
          <w:sz w:val="20"/>
          <w:szCs w:val="20"/>
          <w:shd w:fill="F5F7F9" w:val="clear"/>
        </w:rPr>
        <w:t xml:space="preserve">user_purchase_group_scopes</w:t>
      </w:r>
      <w:r>
        <w:rPr>
          <w:rFonts w:ascii="Calibri" w:cs="Calibri" w:eastAsia="微软雅黑" w:hAnsi="Calibri"/>
          <w:b w:val="false"/>
          <w:bCs w:val="false"/>
          <w:color w:val="44546A"/>
          <w:sz w:val="20"/>
          <w:szCs w:val="20"/>
        </w:rPr>
        <w:t xml:space="preserve"> 表已在数据结构中预留（采购组范围），V1.0 未启用。</w:t>
      </w:r>
    </w:p>
    <w:p>
      <w:pPr>
        <w:pBdr>
          <w:bottom w:val="single" w:color="D6DCE4" w:sz="6" w:space="1"/>
        </w:pBdr>
        <w:spacing w:after="100" w:before="100"/>
      </w:pPr>
    </w:p>
    <w:p>
      <w:pPr>
        <w:pStyle w:val="Heading1"/>
        <w:pageBreakBefore/>
      </w:pPr>
      <w:r>
        <w:rPr>
          <w:rFonts w:ascii="Calibri" w:cs="Calibri" w:eastAsia="微软雅黑" w:hAnsi="Calibri"/>
          <w:b w:val="false"/>
          <w:bCs w:val="false"/>
        </w:rPr>
        <w:t xml:space="preserve">4. 功能需求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4.1 登录与会话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8"/>
        <w:gridCol w:w="7218"/>
      </w:tblGrid>
      <w:tr>
        <w:trPr>
          <w:tblHeader/>
        </w:trPr>
        <w:tc>
          <w:tcPr>
            <w:tcW w:type="dxa" w:w="180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项</w:t>
            </w:r>
          </w:p>
        </w:tc>
        <w:tc>
          <w:tcPr>
            <w:tcW w:type="dxa" w:w="721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180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登录</w:t>
            </w:r>
          </w:p>
        </w:tc>
        <w:tc>
          <w:tcPr>
            <w:tcW w:type="dxa" w:w="721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账号 + 密码；账号不存在、密码错误或账号非「启用」状态统一返回「账号或密码错误」</w:t>
            </w:r>
          </w:p>
        </w:tc>
      </w:tr>
      <w:tr>
        <w:trPr>
          <w:tblHeader w:val="false"/>
        </w:trPr>
        <w:tc>
          <w:tcPr>
            <w:tcW w:type="dxa" w:w="180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会话</w:t>
            </w:r>
          </w:p>
        </w:tc>
        <w:tc>
          <w:tcPr>
            <w:tcW w:type="dxa" w:w="721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登录成功写入 session（cookie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sid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，httpOnly，sameSite=lax，12 小时）</w:t>
            </w:r>
          </w:p>
        </w:tc>
      </w:tr>
      <w:tr>
        <w:trPr>
          <w:tblHeader w:val="false"/>
        </w:trPr>
        <w:tc>
          <w:tcPr>
            <w:tcW w:type="dxa" w:w="180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权限缓存</w:t>
            </w:r>
          </w:p>
        </w:tc>
        <w:tc>
          <w:tcPr>
            <w:tcW w:type="dxa" w:w="721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用户角色/权限/范围缓存 60 秒，避免每次请求查库</w:t>
            </w:r>
          </w:p>
        </w:tc>
      </w:tr>
      <w:tr>
        <w:trPr>
          <w:tblHeader w:val="false"/>
        </w:trPr>
        <w:tc>
          <w:tcPr>
            <w:tcW w:type="dxa" w:w="180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登出</w:t>
            </w:r>
          </w:p>
        </w:tc>
        <w:tc>
          <w:tcPr>
            <w:tcW w:type="dxa" w:w="721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销毁会话</w:t>
            </w:r>
          </w:p>
        </w:tc>
      </w:tr>
      <w:tr>
        <w:trPr>
          <w:tblHeader w:val="false"/>
        </w:trPr>
        <w:tc>
          <w:tcPr>
            <w:tcW w:type="dxa" w:w="180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会话失效</w:t>
            </w:r>
          </w:p>
        </w:tc>
        <w:tc>
          <w:tcPr>
            <w:tcW w:type="dxa" w:w="721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账号被停用或删除后，最长 60 秒内会话自动失效并返回 401</w:t>
            </w:r>
          </w:p>
        </w:tc>
      </w:tr>
      <w:tr>
        <w:trPr>
          <w:tblHeader w:val="false"/>
        </w:trPr>
        <w:tc>
          <w:tcPr>
            <w:tcW w:type="dxa" w:w="180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登录页</w:t>
            </w:r>
          </w:p>
        </w:tc>
        <w:tc>
          <w:tcPr>
            <w:tcW w:type="dxa" w:w="721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展示产品名与默认管理员提示（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admin / admin123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180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落地页</w:t>
            </w:r>
          </w:p>
        </w:tc>
        <w:tc>
          <w:tcPr>
            <w:tcW w:type="dxa" w:w="721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登录后进入「物料汇总表」；若无该权限则进入首个可访问菜单；无任何菜单权限时停留登录页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4.2 物料汇总表（物料库）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页面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/materials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，菜单名「物料汇总表」。定位：全部认证物料的唯一台账。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筛选条件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：关键词（编码 / 名称 / 型号 / 供应商 / 制造商，模糊）、分类（品类下拉）、认证状态、供应商。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列表字段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：勾选框、编码、物料名称、型号规格、分类、供应商、制造商、认证状态（三区徽章）、认证到期（到期徽章）、ROHS、REACH、申请人、操作。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物料字段（完整）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4"/>
        <w:gridCol w:w="2609"/>
        <w:gridCol w:w="3963"/>
      </w:tblGrid>
      <w:tr>
        <w:trPr>
          <w:tblHeader/>
        </w:trPr>
        <w:tc>
          <w:tcPr>
            <w:tcW w:type="dxa" w:w="245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字段</w:t>
            </w:r>
          </w:p>
        </w:tc>
        <w:tc>
          <w:tcPr>
            <w:tcW w:type="dxa" w:w="260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中文</w:t>
            </w:r>
          </w:p>
        </w:tc>
        <w:tc>
          <w:tcPr>
            <w:tcW w:type="dxa" w:w="396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规则</w:t>
            </w:r>
          </w:p>
        </w:tc>
      </w:tr>
      <w:tr>
        <w:trPr>
          <w:tblHeader w:val="false"/>
        </w:trPr>
        <w:tc>
          <w:tcPr>
            <w:tcW w:type="dxa" w:w="245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code</w:t>
            </w:r>
          </w:p>
        </w:tc>
        <w:tc>
          <w:tcPr>
            <w:tcW w:type="dxa" w:w="260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编码</w:t>
            </w:r>
          </w:p>
        </w:tc>
        <w:tc>
          <w:tcPr>
            <w:tcW w:type="dxa" w:w="396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唯一；不填时自动生成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M-&lt;年份&gt;-&lt;4位序号&gt;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（如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M-2026-0001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245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name</w:t>
            </w:r>
          </w:p>
        </w:tc>
        <w:tc>
          <w:tcPr>
            <w:tcW w:type="dxa" w:w="260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物料名称</w:t>
            </w:r>
          </w:p>
        </w:tc>
        <w:tc>
          <w:tcPr>
            <w:tcW w:type="dxa" w:w="396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/>
                <w:bCs/>
                <w:color w:val="000000"/>
                <w:sz w:val="19"/>
                <w:szCs w:val="19"/>
              </w:rPr>
              <w:t xml:space="preserve">必填</w:t>
            </w:r>
          </w:p>
        </w:tc>
      </w:tr>
      <w:tr>
        <w:trPr>
          <w:tblHeader w:val="false"/>
        </w:trPr>
        <w:tc>
          <w:tcPr>
            <w:tcW w:type="dxa" w:w="245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model</w:t>
            </w:r>
          </w:p>
        </w:tc>
        <w:tc>
          <w:tcPr>
            <w:tcW w:type="dxa" w:w="260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型号规格</w:t>
            </w:r>
          </w:p>
        </w:tc>
        <w:tc>
          <w:tcPr>
            <w:tcW w:type="dxa" w:w="396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选填</w:t>
            </w:r>
          </w:p>
        </w:tc>
      </w:tr>
      <w:tr>
        <w:trPr>
          <w:tblHeader w:val="false"/>
        </w:trPr>
        <w:tc>
          <w:tcPr>
            <w:tcW w:type="dxa" w:w="245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category</w:t>
            </w:r>
          </w:p>
        </w:tc>
        <w:tc>
          <w:tcPr>
            <w:tcW w:type="dxa" w:w="260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分类</w:t>
            </w:r>
          </w:p>
        </w:tc>
        <w:tc>
          <w:tcPr>
            <w:tcW w:type="dxa" w:w="396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品类下拉（数据源：三级品类的「物料中类」）</w:t>
            </w:r>
          </w:p>
        </w:tc>
      </w:tr>
      <w:tr>
        <w:trPr>
          <w:tblHeader w:val="false"/>
        </w:trPr>
        <w:tc>
          <w:tcPr>
            <w:tcW w:type="dxa" w:w="245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supplier</w:t>
            </w:r>
          </w:p>
        </w:tc>
        <w:tc>
          <w:tcPr>
            <w:tcW w:type="dxa" w:w="260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</w:t>
            </w:r>
          </w:p>
        </w:tc>
        <w:tc>
          <w:tcPr>
            <w:tcW w:type="dxa" w:w="396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供应商下拉（数据源：供应商信息表）</w:t>
            </w:r>
          </w:p>
        </w:tc>
      </w:tr>
      <w:tr>
        <w:trPr>
          <w:tblHeader w:val="false"/>
        </w:trPr>
        <w:tc>
          <w:tcPr>
            <w:tcW w:type="dxa" w:w="245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manufacturer</w:t>
            </w:r>
          </w:p>
        </w:tc>
        <w:tc>
          <w:tcPr>
            <w:tcW w:type="dxa" w:w="260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制造商</w:t>
            </w:r>
          </w:p>
        </w:tc>
        <w:tc>
          <w:tcPr>
            <w:tcW w:type="dxa" w:w="396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选填</w:t>
            </w:r>
          </w:p>
        </w:tc>
      </w:tr>
      <w:tr>
        <w:trPr>
          <w:tblHeader w:val="false"/>
        </w:trPr>
        <w:tc>
          <w:tcPr>
            <w:tcW w:type="dxa" w:w="245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unit</w:t>
            </w:r>
          </w:p>
        </w:tc>
        <w:tc>
          <w:tcPr>
            <w:tcW w:type="dxa" w:w="260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单位</w:t>
            </w:r>
          </w:p>
        </w:tc>
        <w:tc>
          <w:tcPr>
            <w:tcW w:type="dxa" w:w="396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选填</w:t>
            </w:r>
          </w:p>
        </w:tc>
      </w:tr>
      <w:tr>
        <w:trPr>
          <w:tblHeader w:val="false"/>
        </w:trPr>
        <w:tc>
          <w:tcPr>
            <w:tcW w:type="dxa" w:w="245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status</w:t>
            </w:r>
          </w:p>
        </w:tc>
        <w:tc>
          <w:tcPr>
            <w:tcW w:type="dxa" w:w="260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认证状态</w:t>
            </w:r>
          </w:p>
        </w:tc>
        <w:tc>
          <w:tcPr>
            <w:tcW w:type="dxa" w:w="396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绿区 / 黄区 / 红区，默认黄区，非法值回落黄区</w:t>
            </w:r>
          </w:p>
        </w:tc>
      </w:tr>
      <w:tr>
        <w:trPr>
          <w:tblHeader w:val="false"/>
        </w:trPr>
        <w:tc>
          <w:tcPr>
            <w:tcW w:type="dxa" w:w="245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cert_expire_date</w:t>
            </w:r>
          </w:p>
        </w:tc>
        <w:tc>
          <w:tcPr>
            <w:tcW w:type="dxa" w:w="260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认证到期日</w:t>
            </w:r>
          </w:p>
        </w:tc>
        <w:tc>
          <w:tcPr>
            <w:tcW w:type="dxa" w:w="396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用于到期/临期判定</w:t>
            </w:r>
          </w:p>
        </w:tc>
      </w:tr>
      <w:tr>
        <w:trPr>
          <w:tblHeader w:val="false"/>
        </w:trPr>
        <w:tc>
          <w:tcPr>
            <w:tcW w:type="dxa" w:w="245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rohs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reach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msds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datasheet</w:t>
            </w:r>
          </w:p>
        </w:tc>
        <w:tc>
          <w:tcPr>
            <w:tcW w:type="dxa" w:w="260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ROHS / REACH / MSDS / 规格书</w:t>
            </w:r>
          </w:p>
        </w:tc>
        <w:tc>
          <w:tcPr>
            <w:tcW w:type="dxa" w:w="396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有 / 无 / 待补，默认待补</w:t>
            </w:r>
          </w:p>
        </w:tc>
      </w:tr>
      <w:tr>
        <w:trPr>
          <w:tblHeader w:val="false"/>
        </w:trPr>
        <w:tc>
          <w:tcPr>
            <w:tcW w:type="dxa" w:w="245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applied_by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applied_at</w:t>
            </w:r>
          </w:p>
        </w:tc>
        <w:tc>
          <w:tcPr>
            <w:tcW w:type="dxa" w:w="260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申请人 / 申请时间</w:t>
            </w:r>
          </w:p>
        </w:tc>
        <w:tc>
          <w:tcPr>
            <w:tcW w:type="dxa" w:w="396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选填</w:t>
            </w:r>
          </w:p>
        </w:tc>
      </w:tr>
      <w:tr>
        <w:trPr>
          <w:tblHeader w:val="false"/>
        </w:trPr>
        <w:tc>
          <w:tcPr>
            <w:tcW w:type="dxa" w:w="245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remark</w:t>
            </w:r>
          </w:p>
        </w:tc>
        <w:tc>
          <w:tcPr>
            <w:tcW w:type="dxa" w:w="260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备注</w:t>
            </w:r>
          </w:p>
        </w:tc>
        <w:tc>
          <w:tcPr>
            <w:tcW w:type="dxa" w:w="396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选填</w:t>
            </w:r>
          </w:p>
        </w:tc>
      </w:tr>
      <w:tr>
        <w:trPr>
          <w:tblHeader w:val="false"/>
        </w:trPr>
        <w:tc>
          <w:tcPr>
            <w:tcW w:type="dxa" w:w="245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created_at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updated_at</w:t>
            </w:r>
          </w:p>
        </w:tc>
        <w:tc>
          <w:tcPr>
            <w:tcW w:type="dxa" w:w="260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创建/更新时间</w:t>
            </w:r>
          </w:p>
        </w:tc>
        <w:tc>
          <w:tcPr>
            <w:tcW w:type="dxa" w:w="396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系统写入</w:t>
            </w:r>
          </w:p>
        </w:tc>
      </w:tr>
    </w:tbl>
    <w:p>
      <w:pPr>
        <w:spacing w:after="120" w:before="20"/>
      </w:pP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操作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97"/>
        <w:gridCol w:w="1825"/>
        <w:gridCol w:w="5504"/>
      </w:tblGrid>
      <w:tr>
        <w:trPr>
          <w:tblHeader/>
        </w:trPr>
        <w:tc>
          <w:tcPr>
            <w:tcW w:type="dxa" w:w="169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操作</w:t>
            </w:r>
          </w:p>
        </w:tc>
        <w:tc>
          <w:tcPr>
            <w:tcW w:type="dxa" w:w="18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权限</w:t>
            </w:r>
          </w:p>
        </w:tc>
        <w:tc>
          <w:tcPr>
            <w:tcW w:type="dxa" w:w="550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69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查询 / 重置</w:t>
            </w:r>
          </w:p>
        </w:tc>
        <w:tc>
          <w:tcPr>
            <w:tcW w:type="dxa" w:w="18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登录即可</w:t>
            </w:r>
          </w:p>
        </w:tc>
        <w:tc>
          <w:tcPr>
            <w:tcW w:type="dxa" w:w="550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分页，默认每页 20 条</w:t>
            </w:r>
          </w:p>
        </w:tc>
      </w:tr>
      <w:tr>
        <w:trPr>
          <w:tblHeader w:val="false"/>
        </w:trPr>
        <w:tc>
          <w:tcPr>
            <w:tcW w:type="dxa" w:w="169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新增物料</w:t>
            </w:r>
          </w:p>
        </w:tc>
        <w:tc>
          <w:tcPr>
            <w:tcW w:type="dxa" w:w="18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action:create</w:t>
            </w:r>
          </w:p>
        </w:tc>
        <w:tc>
          <w:tcPr>
            <w:tcW w:type="dxa" w:w="550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弹窗表单（名称必填、供应商、规格型号、认证状态）</w:t>
            </w:r>
          </w:p>
        </w:tc>
      </w:tr>
      <w:tr>
        <w:trPr>
          <w:tblHeader w:val="false"/>
        </w:trPr>
        <w:tc>
          <w:tcPr>
            <w:tcW w:type="dxa" w:w="169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编辑</w:t>
            </w:r>
          </w:p>
        </w:tc>
        <w:tc>
          <w:tcPr>
            <w:tcW w:type="dxa" w:w="18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action:edit</w:t>
            </w:r>
          </w:p>
        </w:tc>
        <w:tc>
          <w:tcPr>
            <w:tcW w:type="dxa" w:w="550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弹窗表单（同上四项）</w:t>
            </w:r>
          </w:p>
        </w:tc>
      </w:tr>
      <w:tr>
        <w:trPr>
          <w:tblHeader w:val="false"/>
        </w:trPr>
        <w:tc>
          <w:tcPr>
            <w:tcW w:type="dxa" w:w="169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删除</w:t>
            </w:r>
          </w:p>
        </w:tc>
        <w:tc>
          <w:tcPr>
            <w:tcW w:type="dxa" w:w="18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action:delete</w:t>
            </w:r>
          </w:p>
        </w:tc>
        <w:tc>
          <w:tcPr>
            <w:tcW w:type="dxa" w:w="550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二次确认，不可恢复</w:t>
            </w:r>
          </w:p>
        </w:tc>
      </w:tr>
      <w:tr>
        <w:trPr>
          <w:tblHeader w:val="false"/>
        </w:trPr>
        <w:tc>
          <w:tcPr>
            <w:tcW w:type="dxa" w:w="169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批量删除</w:t>
            </w:r>
          </w:p>
        </w:tc>
        <w:tc>
          <w:tcPr>
            <w:tcW w:type="dxa" w:w="18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action:delete</w:t>
            </w:r>
          </w:p>
        </w:tc>
        <w:tc>
          <w:tcPr>
            <w:tcW w:type="dxa" w:w="550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勾选本页记录后逐条删除，返回成功条数</w:t>
            </w:r>
          </w:p>
        </w:tc>
      </w:tr>
      <w:tr>
        <w:trPr>
          <w:tblHeader w:val="false"/>
        </w:trPr>
        <w:tc>
          <w:tcPr>
            <w:tcW w:type="dxa" w:w="169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批量导入</w:t>
            </w:r>
          </w:p>
        </w:tc>
        <w:tc>
          <w:tcPr>
            <w:tcW w:type="dxa" w:w="18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action:import</w:t>
            </w:r>
          </w:p>
        </w:tc>
        <w:tc>
          <w:tcPr>
            <w:tcW w:type="dxa" w:w="550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接口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/api/materials/batch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，编码重复计入错误明细</w:t>
            </w:r>
          </w:p>
        </w:tc>
      </w:tr>
      <w:tr>
        <w:trPr>
          <w:tblHeader w:val="false"/>
        </w:trPr>
        <w:tc>
          <w:tcPr>
            <w:tcW w:type="dxa" w:w="1697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导出</w:t>
            </w:r>
          </w:p>
        </w:tc>
        <w:tc>
          <w:tcPr>
            <w:tcW w:type="dxa" w:w="18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action:export</w:t>
            </w:r>
          </w:p>
        </w:tc>
        <w:tc>
          <w:tcPr>
            <w:tcW w:type="dxa" w:w="550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导出列：编码、物料名称、型号规格、分类、供应商、制造商、认证状态、认证到期、ROHS、REACH、申请人；</w:t>
            </w:r>
            <w:r>
              <w:rPr>
                <w:rFonts w:ascii="Calibri" w:cs="Calibri" w:eastAsia="微软雅黑" w:hAnsi="Calibri"/>
                <w:b/>
                <w:bCs/>
                <w:color w:val="000000"/>
                <w:sz w:val="19"/>
                <w:szCs w:val="19"/>
              </w:rPr>
              <w:t xml:space="preserve">支持与列表一致的筛选条件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，并按数据范围过滤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4.3 选型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页面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/selection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，菜单名「选型」。含三个子页签。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4.3.1 一、供应商 AVL 清单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数据源：供应商信息表；按「供应商 / 物料品类 / 状态 / 工厂地址 / 产品类型」列表展示。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支持关键词搜索、品类与状态筛选，分页展示。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4.3.2 二、三四级物料清单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数据源：物料库（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/api/materials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列表字段：编码、物料品类、型号规格、分类、供应商、认证状态、操作。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支持关键词搜索 + 品类/状态/供应商筛选，新增/编辑/删除、批量删除、批量导入、导出。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4.3.3 三、分析看板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物料侧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/api/stats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）：认证状态分布（绿区/黄区/红区）、品类分布、供应商分布、资料覆盖率（ROHS/REACH/MSDS/规格书）。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供应商侧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/api/suppliers/stats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）：合作状态分布、评级分布、物料品类分布。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图表形式：环形图 / 横向条形图（ECharts 按需懒加载）。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4.3.4 选型查重（接口已就绪）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2"/>
        <w:gridCol w:w="7264"/>
      </w:tblGrid>
      <w:tr>
        <w:trPr>
          <w:tblHeader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项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接口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/api/check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action:create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入参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名称、型号、供应商、制造商、编码（至少填其一）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精确匹配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名称 / 型号 / 供应商 / 编码任一完全一致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模糊匹配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名称或型号互相包含；名称会</w:t>
            </w:r>
            <w:r>
              <w:rPr>
                <w:rFonts w:ascii="Calibri" w:cs="Calibri" w:eastAsia="微软雅黑" w:hAnsi="Calibri"/>
                <w:b/>
                <w:bCs/>
                <w:color w:val="000000"/>
                <w:sz w:val="19"/>
                <w:szCs w:val="19"/>
              </w:rPr>
              <w:t xml:space="preserve">剥离常见类别后缀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（如「贴片电阻」→「贴片」）以命中同系列物料；结果去重并排除已精确命中项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结论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返回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inLibrary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（是否在库）、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tip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（提示语）、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exact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fuzzy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（各上限 50 条）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提示语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在库：建议核实后再立项避免重复开发；仅在相似：建议先核对；均无：可新增立项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现状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后端接口完备；React 版「选型」页暂未提供查重入口（旧版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public/select.html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可用），列为后续迭代项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4.4 项目（在研项目 / 预研专项）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页面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/prestudy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，菜单名「项目」。含三个子页签，两清单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共用同一张表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prestudies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）并以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kind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区分：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1"/>
        <w:gridCol w:w="4644"/>
        <w:gridCol w:w="2091"/>
      </w:tblGrid>
      <w:tr>
        <w:trPr>
          <w:tblHeader/>
        </w:trPr>
        <w:tc>
          <w:tcPr>
            <w:tcW w:type="dxa" w:w="229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子页签</w:t>
            </w:r>
          </w:p>
        </w:tc>
        <w:tc>
          <w:tcPr>
            <w:tcW w:type="dxa" w:w="464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kind</w:t>
            </w:r>
          </w:p>
        </w:tc>
        <w:tc>
          <w:tcPr>
            <w:tcW w:type="dxa" w:w="209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一行含义</w:t>
            </w:r>
          </w:p>
        </w:tc>
      </w:tr>
      <w:tr>
        <w:trPr>
          <w:tblHeader w:val="false"/>
        </w:trPr>
        <w:tc>
          <w:tcPr>
            <w:tcW w:type="dxa" w:w="229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一、在研项目</w:t>
            </w:r>
          </w:p>
        </w:tc>
        <w:tc>
          <w:tcPr>
            <w:tcW w:type="dxa" w:w="464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research</w:t>
            </w:r>
          </w:p>
        </w:tc>
        <w:tc>
          <w:tcPr>
            <w:tcW w:type="dxa" w:w="209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一个风险点</w:t>
            </w:r>
          </w:p>
        </w:tc>
      </w:tr>
      <w:tr>
        <w:trPr>
          <w:tblHeader w:val="false"/>
        </w:trPr>
        <w:tc>
          <w:tcPr>
            <w:tcW w:type="dxa" w:w="229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二、预研专项</w:t>
            </w:r>
          </w:p>
        </w:tc>
        <w:tc>
          <w:tcPr>
            <w:tcW w:type="dxa" w:w="464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''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（空）</w:t>
            </w:r>
          </w:p>
        </w:tc>
        <w:tc>
          <w:tcPr>
            <w:tcW w:type="dxa" w:w="209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一个专项</w:t>
            </w:r>
          </w:p>
        </w:tc>
      </w:tr>
      <w:tr>
        <w:trPr>
          <w:tblHeader w:val="false"/>
        </w:trPr>
        <w:tc>
          <w:tcPr>
            <w:tcW w:type="dxa" w:w="229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三、分析看板</w:t>
            </w:r>
          </w:p>
        </w:tc>
        <w:tc>
          <w:tcPr>
            <w:tcW w:type="dxa" w:w="464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可选统计范围：预研专项 / 在研项目 / 全部</w:t>
            </w:r>
          </w:p>
        </w:tc>
        <w:tc>
          <w:tcPr>
            <w:tcW w:type="dxa" w:w="209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 w:before="20"/>
      </w:pP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4.4.1 一、在研项目（风险清单）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列表字段：序号、物料品类、供应商、项目名称、立项、P1、P2、P3、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风险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、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进度措施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、状态、责任人、操作。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搜索范围：项目名称 / 风险 / 进度措施 / 供应商 / 责任人。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支持新增、编辑、删除、批量删除、批量导入（导入到当前所在清单）、导出。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4.4.2 二、预研专项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列表字段：序号、物料品类、供应商、专项名称、立项、P1、P2、P3、风险、状态、责任人、操作。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字段：物料品类、供应商、专项名称（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必填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）、风险、进度、立项、P1、P2、P3、状态、责任人。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里程碑字段为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文本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（如「26/7/30」「26/11/6 装机」），不做日期格式化，兼容各种书写习惯。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4.4.3 三、分析看板</w:t>
      </w:r>
    </w:p>
    <w:p>
      <w:pPr>
        <w:spacing w:after="60" w:before="60" w:line="300"/>
        <w:jc w:val="both"/>
      </w:pP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/api/prestudies/stats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输出：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总量、按品类、按状态、按里程碑（立项 / P1 / P2 / P3 各自计数）、按责任人（Top10）、按供应商（Top10）；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按项目统计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问题个数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（一行一个风险点，逐条计数，不做项目级合并）；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issueTotal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（风险点总数）、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projectTotal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（去重项目数）、最近 8 条记录。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4.4.4 文档导入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支持上传 PDF / DOCX / XLSX / TXT 等原始文件，自动提取「品类 / 专项名称 / 风险 / 进度 / 状态 / 责任人」；提取结果经前端弹窗确认后落库，来源标记为「文档导入」。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4.5 稽核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页面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/audits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，菜单名「稽核」。含两个子页签。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4.5.1 一、稽核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2"/>
        <w:gridCol w:w="7264"/>
      </w:tblGrid>
      <w:tr>
        <w:trPr>
          <w:tblHeader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项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字段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物料品类、时间、供应商（</w:t>
            </w:r>
            <w:r>
              <w:rPr>
                <w:rFonts w:ascii="Calibri" w:cs="Calibri" w:eastAsia="微软雅黑" w:hAnsi="Calibri"/>
                <w:b/>
                <w:bCs/>
                <w:color w:val="000000"/>
                <w:sz w:val="19"/>
                <w:szCs w:val="19"/>
              </w:rPr>
              <w:t xml:space="preserve">必填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）、稽核人员、稽核内容、稽核结果、评分、摘要、改善措施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稽核结果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合格 / 有条件合格 / 不合格，默认合格，非法值回落合格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筛选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关键词（供应商 / 稽核人员 / 稽核内容 / 摘要 / 物料品类）、稽核结果、物料品类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列表字段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勾选框、品类、时间、供应商、稽核内容、稽核结果、稽核人员、操作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操作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新增、编辑、删除、批量删除、批量导入、导出（列：品类、时间、供应商、稽核内容、稽核结果、稽核人员）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分页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默认每页 10 条</w:t>
            </w:r>
          </w:p>
        </w:tc>
      </w:tr>
    </w:tbl>
    <w:p>
      <w:pPr>
        <w:spacing w:after="120" w:before="20"/>
      </w:pP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4.5.2 二、分析看板</w:t>
      </w:r>
    </w:p>
    <w:p>
      <w:pPr>
        <w:spacing w:after="60" w:before="60" w:line="300"/>
        <w:jc w:val="both"/>
      </w:pP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/api/audits/stats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输出：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总量、稽核结果分布、最近 8 条；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按供应商聚合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：稽核次数、问题个数、结果分布、最近稽核时间（按次数降序，其次按问题数）；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问题个数趋势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（切换年度 / 月度）：</w:t>
      </w:r>
    </w:p>
    <w:p>
      <w:pPr>
        <w:pStyle w:val="ListParagraph"/>
        <w:numPr>
          <w:ilvl w:val="1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横轴年度或月份，纵轴问题个数，每个供应商一条曲线；</w:t>
      </w:r>
    </w:p>
    <w:p>
      <w:pPr>
        <w:pStyle w:val="ListParagraph"/>
        <w:numPr>
          <w:ilvl w:val="1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年度粒度列出数据中出现过的年份；月度粒度补齐连续月份（最多最近 36 个月，空月计 0）；</w:t>
      </w:r>
    </w:p>
    <w:p>
      <w:pPr>
        <w:pStyle w:val="ListParagraph"/>
        <w:numPr>
          <w:ilvl w:val="1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只取问题总量 Top 6 的供应商，保证年度/月度切换前后对比对象一致。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问题个数口径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countIssues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）：稽核内容中若存在编号条目（如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1、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、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2.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、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3)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）按编号计数，否则按有效换行计数。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4.6 BOM 信息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页面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/projects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，菜单名「BOM信息」。含两个子页签。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4.6.1 一、BOM列表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基础字段：供应商、品类、项目名称（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必填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）、认证流程（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flow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）、来源（手动 / 文档导入）。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规格字段共 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31 项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，按弹窗分组组织：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5"/>
        <w:gridCol w:w="7201"/>
      </w:tblGrid>
      <w:tr>
        <w:trPr>
          <w:tblHeader/>
        </w:trPr>
        <w:tc>
          <w:tcPr>
            <w:tcW w:type="dxa" w:w="18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分组</w:t>
            </w:r>
          </w:p>
        </w:tc>
        <w:tc>
          <w:tcPr>
            <w:tcW w:type="dxa" w:w="720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字段</w:t>
            </w:r>
          </w:p>
        </w:tc>
      </w:tr>
      <w:tr>
        <w:trPr>
          <w:tblHeader w:val="false"/>
        </w:trPr>
        <w:tc>
          <w:tcPr>
            <w:tcW w:type="dxa" w:w="18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立项信息</w:t>
            </w:r>
          </w:p>
        </w:tc>
        <w:tc>
          <w:tcPr>
            <w:tcW w:type="dxa" w:w="720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基线、量产封样时间、项目尺寸</w:t>
            </w:r>
          </w:p>
        </w:tc>
      </w:tr>
      <w:tr>
        <w:trPr>
          <w:tblHeader w:val="false"/>
        </w:trPr>
        <w:tc>
          <w:tcPr>
            <w:tcW w:type="dxa" w:w="18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模组器件</w:t>
            </w:r>
          </w:p>
        </w:tc>
        <w:tc>
          <w:tcPr>
            <w:tcW w:type="dxa" w:w="720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MOD厂、MOD料号、panel、IC、CG厂、CG材质、FPC、OCA、POL</w:t>
            </w:r>
          </w:p>
        </w:tc>
      </w:tr>
      <w:tr>
        <w:trPr>
          <w:tblHeader w:val="false"/>
        </w:trPr>
        <w:tc>
          <w:tcPr>
            <w:tcW w:type="dxa" w:w="18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制程胶材</w:t>
            </w:r>
          </w:p>
        </w:tc>
        <w:tc>
          <w:tcPr>
            <w:tcW w:type="dxa" w:w="720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COG-ACF、FOG-ACF、元器件包封胶、一线胶、面胶、银浆、硅酮胶、盲孔一道胶、盲孔二道胶</w:t>
            </w:r>
          </w:p>
        </w:tc>
      </w:tr>
      <w:tr>
        <w:trPr>
          <w:tblHeader w:val="false"/>
        </w:trPr>
        <w:tc>
          <w:tcPr>
            <w:tcW w:type="dxa" w:w="182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背光模组</w:t>
            </w:r>
          </w:p>
        </w:tc>
        <w:tc>
          <w:tcPr>
            <w:tcW w:type="dxa" w:w="720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背光厂、遮光胶、上/下增光、扩散、LED灯胶、反射、LED、LGP、胶框、铁框</w:t>
            </w:r>
          </w:p>
        </w:tc>
      </w:tr>
    </w:tbl>
    <w:p>
      <w:pPr>
        <w:spacing w:after="120" w:before="20"/>
      </w:pP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筛选：关键词（项目名称 / 供应商 / 品类 / 流程 / 全部规格字段）、供应商、品类；分页默认每页 5 条。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操作：新增、编辑、删除、批量删除、批量导入、导出。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导出列：项目名称、供应商、品类、流程、来源、录入时间 + 31 个规格列（可直接作为导入模板）。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4.6.2 二、分析看板</w:t>
      </w:r>
    </w:p>
    <w:p>
      <w:pPr>
        <w:spacing w:after="60" w:before="60" w:line="300"/>
        <w:jc w:val="both"/>
      </w:pP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/api/projects/stats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输出：总量、按供应商（Top12）、按品类（Top12）、来源分布（手动 / 文档导入）、流程填写覆盖率（%）、最近 8 条。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4.6.3 文档导入（智能表头识别）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专属导入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：上传 Excel 后在前端本地解析，自动识别表头行——扫描前 20 行，取命中规格列最多的一行作为表头（兼容表格上方有说明行/合并行的情况）；命中列数不足 3 列时提示改用「下载导入模板」。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表头匹配同时支持中文列名与英文字段名（忽略大小写与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-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_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差异）。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支持项目名称列自动识别（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项目名称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/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项目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/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project_name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导入前提供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预览确认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，确认后调用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/api/projects/batch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source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固定为「文档导入」。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文档提取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：上传 PDF / DOCX / XLSX 等文档，自动提取项目名称、供应商、品类、流程与全部规格字段，结果由前端确认后落库。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4.7 供应商信息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页面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/suppliers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，菜单名「供应商信息」。含两个子页签。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4.7.1 一、供应商信息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2"/>
        <w:gridCol w:w="7264"/>
      </w:tblGrid>
      <w:tr>
        <w:trPr>
          <w:tblHeader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字段组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字段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基础信息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供应商名称（</w:t>
            </w:r>
            <w:r>
              <w:rPr>
                <w:rFonts w:ascii="Calibri" w:cs="Calibri" w:eastAsia="微软雅黑" w:hAnsi="Calibri"/>
                <w:b/>
                <w:bCs/>
                <w:color w:val="000000"/>
                <w:sz w:val="19"/>
                <w:szCs w:val="19"/>
              </w:rPr>
              <w:t xml:space="preserve">必填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）、联系人、电话、邮箱、地址、物料品类、评级、合作状态、备注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能力档案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公司简介、产品类型、产能(手机)、模组客户、终端客户、体系能力、自动化能力、检验能力、追溯能力、测试能力、返修、优势、劣势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审核信息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审核地址、审核时间、审核成员、审核结果、QSA、QPA、审核记录、传音量产记录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附件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附件（上传后存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uploads/suppliers/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，最多 20MB）</w:t>
            </w:r>
          </w:p>
        </w:tc>
      </w:tr>
    </w:tbl>
    <w:p>
      <w:pPr>
        <w:spacing w:after="120" w:before="20"/>
      </w:pP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评级：A / B / C / D，默认 C，非法值回落 C。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合作状态：合作中 / 暂停 / 淘汰，默认合作中，非法值回落合作中。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筛选：关键词（名称 / 联系人 / 电话 / 品类 / 地址 / 物料品类 / 产品类型 / 客户 / 优势 / 劣势）、物料品类。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列表字段：勾选框 + 供应商列（配置化列定义）+ 附件 + 操作；列表接口上限 500 条（不分页）。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操作：新增、编辑、删除、批量删除、批量导入、导出（导出 25 列，即供应商信息全字段）。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供应商数据是各页面「供应商下拉」的唯一数据源，增删改后前端刷新元数据即全局同步。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4.7.2 二、分析看板</w:t>
      </w:r>
    </w:p>
    <w:p>
      <w:pPr>
        <w:spacing w:after="60" w:before="60" w:line="300"/>
        <w:jc w:val="both"/>
      </w:pP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/api/suppliers/stats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输出：总量、按合作状态、按评级、按物料品类分布、关联物料数 Top10（来自物料库按供应商聚合）。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4.8 关键工艺（QCP，质量控制计划）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页面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/qcps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，菜单名「关键工艺」。含两个子页签。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4.8.1 一、QCP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55"/>
        <w:gridCol w:w="3971"/>
      </w:tblGrid>
      <w:tr>
        <w:trPr>
          <w:tblHeader/>
        </w:trPr>
        <w:tc>
          <w:tcPr>
            <w:tcW w:type="dxa" w:w="505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字段</w:t>
            </w:r>
          </w:p>
        </w:tc>
        <w:tc>
          <w:tcPr>
            <w:tcW w:type="dxa" w:w="397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505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品类</w:t>
            </w:r>
          </w:p>
        </w:tc>
        <w:tc>
          <w:tcPr>
            <w:tcW w:type="dxa" w:w="397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品类下拉</w:t>
            </w:r>
          </w:p>
        </w:tc>
      </w:tr>
      <w:tr>
        <w:trPr>
          <w:tblHeader w:val="false"/>
        </w:trPr>
        <w:tc>
          <w:tcPr>
            <w:tcW w:type="dxa" w:w="505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QCP 名称</w:t>
            </w:r>
          </w:p>
        </w:tc>
        <w:tc>
          <w:tcPr>
            <w:tcW w:type="dxa" w:w="397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选填（当前不强制必填）</w:t>
            </w:r>
          </w:p>
        </w:tc>
      </w:tr>
      <w:tr>
        <w:trPr>
          <w:tblHeader w:val="false"/>
        </w:trPr>
        <w:tc>
          <w:tcPr>
            <w:tcW w:type="dxa" w:w="505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</w:t>
            </w:r>
          </w:p>
        </w:tc>
        <w:tc>
          <w:tcPr>
            <w:tcW w:type="dxa" w:w="397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供应商下拉</w:t>
            </w:r>
          </w:p>
        </w:tc>
      </w:tr>
      <w:tr>
        <w:trPr>
          <w:tblHeader w:val="false"/>
        </w:trPr>
        <w:tc>
          <w:tcPr>
            <w:tcW w:type="dxa" w:w="505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工序 / 控制项目 / 规格要求 / 检验方法 / 频次 / 检测设备 / 责任人</w:t>
            </w:r>
          </w:p>
        </w:tc>
        <w:tc>
          <w:tcPr>
            <w:tcW w:type="dxa" w:w="397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选填</w:t>
            </w:r>
          </w:p>
        </w:tc>
      </w:tr>
      <w:tr>
        <w:trPr>
          <w:tblHeader w:val="false"/>
        </w:trPr>
        <w:tc>
          <w:tcPr>
            <w:tcW w:type="dxa" w:w="505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状态</w:t>
            </w:r>
          </w:p>
        </w:tc>
        <w:tc>
          <w:tcPr>
            <w:tcW w:type="dxa" w:w="397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草稿 / 生效 / 作废，默认生效，非法值回落生效</w:t>
            </w:r>
          </w:p>
        </w:tc>
      </w:tr>
      <w:tr>
        <w:trPr>
          <w:tblHeader w:val="false"/>
        </w:trPr>
        <w:tc>
          <w:tcPr>
            <w:tcW w:type="dxa" w:w="505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备注</w:t>
            </w:r>
          </w:p>
        </w:tc>
        <w:tc>
          <w:tcPr>
            <w:tcW w:type="dxa" w:w="397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选填</w:t>
            </w:r>
          </w:p>
        </w:tc>
      </w:tr>
    </w:tbl>
    <w:p>
      <w:pPr>
        <w:spacing w:after="120" w:before="20"/>
      </w:pP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筛选：关键词（名称 / 品类 / 供应商 / 工序 / 控制项目 / 规格）、状态、品类；分页默认每页 10 条。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支持品类目录树辅助浏览与刷新（按品类定位）。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操作：新增、编辑、删除、批量删除、批量导入、导出（列：品类、QCP 名称、供应商、工序、控制项目、规格要求、检验方法、频次、检测设备、责任人、状态）。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4.8.2 二、分析看板</w:t>
      </w:r>
    </w:p>
    <w:p>
      <w:pPr>
        <w:spacing w:after="60" w:before="60" w:line="300"/>
        <w:jc w:val="both"/>
      </w:pP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/api/qcps/stats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输出：总量、按状态、按工序（Top12）、按供应商（Top10）、按品类的工序数、生效中数量、最近 8 条。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4.9 品类管理（三级品类树）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页面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/admin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的「品类」页签（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page:categories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，管理员专属）。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2"/>
        <w:gridCol w:w="7034"/>
      </w:tblGrid>
      <w:tr>
        <w:trPr>
          <w:tblHeader/>
        </w:trPr>
        <w:tc>
          <w:tcPr>
            <w:tcW w:type="dxa" w:w="19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项</w:t>
            </w:r>
          </w:p>
        </w:tc>
        <w:tc>
          <w:tcPr>
            <w:tcW w:type="dxa" w:w="703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19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结构</w:t>
            </w:r>
          </w:p>
        </w:tc>
        <w:tc>
          <w:tcPr>
            <w:tcW w:type="dxa" w:w="703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三级：物料大类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big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（必填）/ 物料中类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mid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/ 物料小类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small</w:t>
            </w:r>
          </w:p>
        </w:tc>
      </w:tr>
      <w:tr>
        <w:trPr>
          <w:tblHeader w:val="false"/>
        </w:trPr>
        <w:tc>
          <w:tcPr>
            <w:tcW w:type="dxa" w:w="19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数据源作用</w:t>
            </w:r>
          </w:p>
        </w:tc>
        <w:tc>
          <w:tcPr>
            <w:tcW w:type="dxa" w:w="703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各业务页面的「品类下拉」统一取「物料中类」去重集合；品类维护后全局自动同步</w:t>
            </w:r>
          </w:p>
        </w:tc>
      </w:tr>
      <w:tr>
        <w:trPr>
          <w:tblHeader w:val="false"/>
        </w:trPr>
        <w:tc>
          <w:tcPr>
            <w:tcW w:type="dxa" w:w="19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操作</w:t>
            </w:r>
          </w:p>
        </w:tc>
        <w:tc>
          <w:tcPr>
            <w:tcW w:type="dxa" w:w="703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新增、编辑、删除、批量删除、批量导入、导出；支持关键词搜索（大类/中类/小类）与分页</w:t>
            </w:r>
          </w:p>
        </w:tc>
      </w:tr>
      <w:tr>
        <w:trPr>
          <w:tblHeader w:val="false"/>
        </w:trPr>
        <w:tc>
          <w:tcPr>
            <w:tcW w:type="dxa" w:w="19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权限</w:t>
            </w:r>
          </w:p>
        </w:tc>
        <w:tc>
          <w:tcPr>
            <w:tcW w:type="dxa" w:w="703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需同时持有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page:categories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与对应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action:*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；普通角色即使持有全局操作权限也无法操作</w:t>
            </w:r>
          </w:p>
        </w:tc>
      </w:tr>
      <w:tr>
        <w:trPr>
          <w:tblHeader w:val="false"/>
        </w:trPr>
        <w:tc>
          <w:tcPr>
            <w:tcW w:type="dxa" w:w="199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兼容</w:t>
            </w:r>
          </w:p>
        </w:tc>
        <w:tc>
          <w:tcPr>
            <w:tcW w:type="dxa" w:w="703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保留旧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categories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表与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/api/categories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动态新增品类能力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4.10 系统管理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页面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/admin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，菜单名「系统管理」（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page:admin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，超级管理员专属）。含四个页签。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4.10.1 用户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2"/>
        <w:gridCol w:w="7264"/>
      </w:tblGrid>
      <w:tr>
        <w:trPr>
          <w:tblHeader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项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列表字段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账号、姓名、状态、超管、角色、数据范围、创建时间、操作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新增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账号 + 密码必填；可设姓名、状态（启用/停用）、是否超管、角色（多选）、数据范围（品类多选、供应商多行文本）；自动创建并分配同名专属角色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编辑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可改密码（留空不修改）、状态、姓名、超管、角色、数据范围；账号/姓名变更同步专属角色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删除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不能删除当前登录账号；删除时清理角色关联、数据范围及其专属角色（未被他人使用时）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唯一性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账号唯一；账号变更前做唯一性预检（含角色编码占用预检）</w:t>
            </w:r>
          </w:p>
        </w:tc>
      </w:tr>
    </w:tbl>
    <w:p>
      <w:pPr>
        <w:spacing w:after="120" w:before="20"/>
      </w:pP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4.10.2 角色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6876"/>
      </w:tblGrid>
      <w:tr>
        <w:trPr>
          <w:tblHeader/>
        </w:trPr>
        <w:tc>
          <w:tcPr>
            <w:tcW w:type="dxa" w:w="215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项</w:t>
            </w:r>
          </w:p>
        </w:tc>
        <w:tc>
          <w:tcPr>
            <w:tcW w:type="dxa" w:w="687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列表字段</w:t>
            </w:r>
          </w:p>
        </w:tc>
        <w:tc>
          <w:tcPr>
            <w:tcW w:type="dxa" w:w="687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账号（角色编码）、姓名、描述、内置、权限数、操作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新增/编辑</w:t>
            </w:r>
          </w:p>
        </w:tc>
        <w:tc>
          <w:tcPr>
            <w:tcW w:type="dxa" w:w="687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角色编码（新增后不可改）、名称、描述、权限勾选（菜单 + 操作）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规则</w:t>
            </w:r>
          </w:p>
        </w:tc>
        <w:tc>
          <w:tcPr>
            <w:tcW w:type="dxa" w:w="687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未同时勾选「系统管理」的角色自动剔除「品类」权限</w:t>
            </w:r>
          </w:p>
        </w:tc>
      </w:tr>
      <w:tr>
        <w:trPr>
          <w:tblHeader w:val="false"/>
        </w:trPr>
        <w:tc>
          <w:tcPr>
            <w:tcW w:type="dxa" w:w="215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删除</w:t>
            </w:r>
          </w:p>
        </w:tc>
        <w:tc>
          <w:tcPr>
            <w:tcW w:type="dxa" w:w="687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级联清理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role_permissions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与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user_roles</w:t>
            </w:r>
          </w:p>
        </w:tc>
      </w:tr>
    </w:tbl>
    <w:p>
      <w:pPr>
        <w:spacing w:after="120" w:before="20"/>
      </w:pP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4.10.3 权限码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只读清单：类型（菜单 / 操作）、权限码、名称。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权限码由代码内置（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db.js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的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PERMISSIONS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），不可在界面新增。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4.10.4 品类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同 4.9。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4.11 通用能力：批量导入 / 导出</w:t>
      </w: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导入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2"/>
        <w:gridCol w:w="7264"/>
      </w:tblGrid>
      <w:tr>
        <w:trPr>
          <w:tblHeader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项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入口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各业务页「批量导入」按钮，弹窗选择 Excel（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.xlsx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流程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前端本地解析 → 表头匹配（中文列名或英文字段名，忽略空格与大小写）→ 预览 → 提交 → 展示成功/跳过/错误明细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行级容错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单行失败不影响其他行；错误明细含行号与原因（如「缺少必填字段」「编码已存在」）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去重口径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逐条入库（项目/专项/物料允许多条）；仅当</w:t>
            </w:r>
            <w:r>
              <w:rPr>
                <w:rFonts w:ascii="Calibri" w:cs="Calibri" w:eastAsia="微软雅黑" w:hAnsi="Calibri"/>
                <w:b/>
                <w:bCs/>
                <w:color w:val="000000"/>
                <w:sz w:val="19"/>
                <w:szCs w:val="19"/>
              </w:rPr>
              <w:t xml:space="preserve">导入列内容完全一致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时视为重复：文件内重复合并为一条，与库中已有记录重复则跳过，均计入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skipped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</w:t>
            </w:r>
            <w:r>
              <w:rPr>
                <w:rFonts w:ascii="Calibri" w:cs="Calibri" w:eastAsia="微软雅黑" w:hAnsi="Calibri"/>
                <w:b/>
                <w:bCs/>
                <w:color w:val="000000"/>
                <w:sz w:val="19"/>
                <w:szCs w:val="19"/>
              </w:rPr>
              <w:t xml:space="preserve">绝不覆盖或删除已有数据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事务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整批事务提交，异常整体回滚</w:t>
            </w:r>
          </w:p>
        </w:tc>
      </w:tr>
    </w:tbl>
    <w:p>
      <w:pPr>
        <w:spacing w:after="120" w:before="20"/>
      </w:pPr>
    </w:p>
    <w:p>
      <w:pPr>
        <w:pStyle w:val="Heading3"/>
      </w:pPr>
      <w:r>
        <w:rPr>
          <w:rFonts w:ascii="Calibri" w:cs="Calibri" w:eastAsia="微软雅黑" w:hAnsi="Calibri"/>
          <w:b w:val="false"/>
          <w:bCs w:val="false"/>
        </w:rPr>
        <w:t xml:space="preserve">导出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1"/>
        <w:gridCol w:w="7085"/>
      </w:tblGrid>
      <w:tr>
        <w:trPr>
          <w:tblHeader/>
        </w:trPr>
        <w:tc>
          <w:tcPr>
            <w:tcW w:type="dxa" w:w="194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项</w:t>
            </w:r>
          </w:p>
        </w:tc>
        <w:tc>
          <w:tcPr>
            <w:tcW w:type="dxa" w:w="708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194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格式</w:t>
            </w:r>
          </w:p>
        </w:tc>
        <w:tc>
          <w:tcPr>
            <w:tcW w:type="dxa" w:w="708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.xlsx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，文件名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&lt;模块&gt;_&lt;YYYY-MM-DD&gt;.xlsx</w:t>
            </w:r>
          </w:p>
        </w:tc>
      </w:tr>
      <w:tr>
        <w:trPr>
          <w:tblHeader w:val="false"/>
        </w:trPr>
        <w:tc>
          <w:tcPr>
            <w:tcW w:type="dxa" w:w="194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列头</w:t>
            </w:r>
          </w:p>
        </w:tc>
        <w:tc>
          <w:tcPr>
            <w:tcW w:type="dxa" w:w="708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即「中文列名」，与导入模板列一致，导出文件可直接改后回导</w:t>
            </w:r>
          </w:p>
        </w:tc>
      </w:tr>
      <w:tr>
        <w:trPr>
          <w:tblHeader w:val="false"/>
        </w:trPr>
        <w:tc>
          <w:tcPr>
            <w:tcW w:type="dxa" w:w="194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范围</w:t>
            </w:r>
          </w:p>
        </w:tc>
        <w:tc>
          <w:tcPr>
            <w:tcW w:type="dxa" w:w="708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遵循当前筛选条件 + 用户数据范围</w:t>
            </w:r>
          </w:p>
        </w:tc>
      </w:tr>
      <w:tr>
        <w:trPr>
          <w:tblHeader w:val="false"/>
        </w:trPr>
        <w:tc>
          <w:tcPr>
            <w:tcW w:type="dxa" w:w="194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覆盖模块</w:t>
            </w:r>
          </w:p>
        </w:tc>
        <w:tc>
          <w:tcPr>
            <w:tcW w:type="dxa" w:w="708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物料台账、BOM 信息、预研专项/在研项目、供应商信息、稽核记录、QCP、品类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4.12 通用能力：文档解析与 AI 提取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6706"/>
      </w:tblGrid>
      <w:tr>
        <w:trPr>
          <w:tblHeader/>
        </w:trPr>
        <w:tc>
          <w:tcPr>
            <w:tcW w:type="dxa" w:w="232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项</w:t>
            </w:r>
          </w:p>
        </w:tc>
        <w:tc>
          <w:tcPr>
            <w:tcW w:type="dxa" w:w="670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232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支持格式</w:t>
            </w:r>
          </w:p>
        </w:tc>
        <w:tc>
          <w:tcPr>
            <w:tcW w:type="dxa" w:w="670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txt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csv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json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log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pdf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docx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xlsx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xls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；老版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.doc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提示另存为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.docx</w:t>
            </w:r>
          </w:p>
        </w:tc>
      </w:tr>
      <w:tr>
        <w:trPr>
          <w:tblHeader w:val="false"/>
        </w:trPr>
        <w:tc>
          <w:tcPr>
            <w:tcW w:type="dxa" w:w="232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大小限制</w:t>
            </w:r>
          </w:p>
        </w:tc>
        <w:tc>
          <w:tcPr>
            <w:tcW w:type="dxa" w:w="670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单文件 ≤ 20MB</w:t>
            </w:r>
          </w:p>
        </w:tc>
      </w:tr>
      <w:tr>
        <w:trPr>
          <w:tblHeader w:val="false"/>
        </w:trPr>
        <w:tc>
          <w:tcPr>
            <w:tcW w:type="dxa" w:w="232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解析</w:t>
            </w:r>
          </w:p>
        </w:tc>
        <w:tc>
          <w:tcPr>
            <w:tcW w:type="dxa" w:w="670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PDF 用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pdf-parse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；DOCX 用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mammoth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；Excel 按工作表解析（两列键值布局输出「字段：值」，宽表按表头映射）</w:t>
            </w:r>
          </w:p>
        </w:tc>
      </w:tr>
      <w:tr>
        <w:trPr>
          <w:tblHeader w:val="false"/>
        </w:trPr>
        <w:tc>
          <w:tcPr>
            <w:tcW w:type="dxa" w:w="232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规则提取（兜底）</w:t>
            </w:r>
          </w:p>
        </w:tc>
        <w:tc>
          <w:tcPr>
            <w:tcW w:type="dxa" w:w="670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按关键词扫描文本行提取字段；关键词按长度降序匹配，优先命中更具体的词（如「LED灯胶」优先于「LED」）</w:t>
            </w:r>
          </w:p>
        </w:tc>
      </w:tr>
      <w:tr>
        <w:trPr>
          <w:tblHeader w:val="false"/>
        </w:trPr>
        <w:tc>
          <w:tcPr>
            <w:tcW w:type="dxa" w:w="232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AI 提取（可选）</w:t>
            </w:r>
          </w:p>
        </w:tc>
        <w:tc>
          <w:tcPr>
            <w:tcW w:type="dxa" w:w="670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走 OpenAI 兼容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{AI_BASE_URL}/chat/completions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response_format=json_object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temperature=0.1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，文本截取前 12000 字符；失败或未配置密钥时自动回退规则提取</w:t>
            </w:r>
          </w:p>
        </w:tc>
      </w:tr>
      <w:tr>
        <w:trPr>
          <w:tblHeader w:val="false"/>
        </w:trPr>
        <w:tc>
          <w:tcPr>
            <w:tcW w:type="dxa" w:w="232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配置项</w:t>
            </w:r>
          </w:p>
        </w:tc>
        <w:tc>
          <w:tcPr>
            <w:tcW w:type="dxa" w:w="670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AI_API_KEY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（未配置则仅规则提取）、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AI_BASE_URL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（默认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https://api.openai.com/v1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AI_MODEL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（默认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gpt-4o-mini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232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交互</w:t>
            </w:r>
          </w:p>
        </w:tc>
        <w:tc>
          <w:tcPr>
            <w:tcW w:type="dxa" w:w="670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接口</w:t>
            </w:r>
            <w:r>
              <w:rPr>
                <w:rFonts w:ascii="Calibri" w:cs="Calibri" w:eastAsia="微软雅黑" w:hAnsi="Calibri"/>
                <w:b/>
                <w:bCs/>
                <w:color w:val="000000"/>
                <w:sz w:val="19"/>
                <w:szCs w:val="19"/>
              </w:rPr>
              <w:t xml:space="preserve">不落库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，返回提取结果 + 文本预览，由前端弹窗确认后调用对应新增/批量接口写库</w:t>
            </w:r>
          </w:p>
        </w:tc>
      </w:tr>
      <w:tr>
        <w:trPr>
          <w:tblHeader w:val="false"/>
        </w:trPr>
        <w:tc>
          <w:tcPr>
            <w:tcW w:type="dxa" w:w="232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适用模块</w:t>
            </w:r>
          </w:p>
        </w:tc>
        <w:tc>
          <w:tcPr>
            <w:tcW w:type="dxa" w:w="670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BOM 信息、预研专项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4.13 通用能力：附件上传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8"/>
        <w:gridCol w:w="6948"/>
      </w:tblGrid>
      <w:tr>
        <w:trPr>
          <w:tblHeader/>
        </w:trPr>
        <w:tc>
          <w:tcPr>
            <w:tcW w:type="dxa" w:w="207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项</w:t>
            </w:r>
          </w:p>
        </w:tc>
        <w:tc>
          <w:tcPr>
            <w:tcW w:type="dxa" w:w="694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207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接口</w:t>
            </w:r>
          </w:p>
        </w:tc>
        <w:tc>
          <w:tcPr>
            <w:tcW w:type="dxa" w:w="694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/api/upload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action:edit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），接收 base64</w:t>
            </w:r>
          </w:p>
        </w:tc>
      </w:tr>
      <w:tr>
        <w:trPr>
          <w:tblHeader w:val="false"/>
        </w:trPr>
        <w:tc>
          <w:tcPr>
            <w:tcW w:type="dxa" w:w="207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限制</w:t>
            </w:r>
          </w:p>
        </w:tc>
        <w:tc>
          <w:tcPr>
            <w:tcW w:type="dxa" w:w="694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≤ 20MB；文件名过滤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\ / : * ? " &lt; &gt; |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等非法字符</w:t>
            </w:r>
          </w:p>
        </w:tc>
      </w:tr>
      <w:tr>
        <w:trPr>
          <w:tblHeader w:val="false"/>
        </w:trPr>
        <w:tc>
          <w:tcPr>
            <w:tcW w:type="dxa" w:w="207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存储</w:t>
            </w:r>
          </w:p>
        </w:tc>
        <w:tc>
          <w:tcPr>
            <w:tcW w:type="dxa" w:w="694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uploads/suppliers/&lt;时间戳&gt;_&lt;文件名&gt;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，通过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/uploads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静态访问</w:t>
            </w:r>
          </w:p>
        </w:tc>
      </w:tr>
      <w:tr>
        <w:trPr>
          <w:tblHeader w:val="false"/>
        </w:trPr>
        <w:tc>
          <w:tcPr>
            <w:tcW w:type="dxa" w:w="207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使用场景</w:t>
            </w:r>
          </w:p>
        </w:tc>
        <w:tc>
          <w:tcPr>
            <w:tcW w:type="dxa" w:w="694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供应商附件等；请求体上限整体放大至 50MB</w:t>
            </w:r>
          </w:p>
        </w:tc>
      </w:tr>
    </w:tbl>
    <w:p>
      <w:pPr>
        <w:spacing w:after="120" w:before="20"/>
      </w:pPr>
    </w:p>
    <w:p>
      <w:pPr>
        <w:pBdr>
          <w:bottom w:val="single" w:color="D6DCE4" w:sz="6" w:space="1"/>
        </w:pBdr>
        <w:spacing w:after="100" w:before="100"/>
      </w:pPr>
    </w:p>
    <w:p>
      <w:pPr>
        <w:pStyle w:val="Heading1"/>
        <w:pageBreakBefore/>
      </w:pPr>
      <w:r>
        <w:rPr>
          <w:rFonts w:ascii="Calibri" w:cs="Calibri" w:eastAsia="微软雅黑" w:hAnsi="Calibri"/>
          <w:b w:val="false"/>
          <w:bCs w:val="false"/>
        </w:rPr>
        <w:t xml:space="preserve">5. 业务规则汇总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5.1 认证状态三区（核心业务规则）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5401"/>
        <w:gridCol w:w="1974"/>
      </w:tblGrid>
      <w:tr>
        <w:trPr>
          <w:tblHeader/>
        </w:trPr>
        <w:tc>
          <w:tcPr>
            <w:tcW w:type="dxa" w:w="165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状态</w:t>
            </w:r>
          </w:p>
        </w:tc>
        <w:tc>
          <w:tcPr>
            <w:tcW w:type="dxa" w:w="540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业务含义</w:t>
            </w:r>
          </w:p>
        </w:tc>
        <w:tc>
          <w:tcPr>
            <w:tcW w:type="dxa" w:w="197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徽章色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绿区</w:t>
            </w:r>
          </w:p>
        </w:tc>
        <w:tc>
          <w:tcPr>
            <w:tcW w:type="dxa" w:w="540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认证有效</w:t>
            </w:r>
          </w:p>
        </w:tc>
        <w:tc>
          <w:tcPr>
            <w:tcW w:type="dxa" w:w="197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绿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黄区</w:t>
            </w:r>
          </w:p>
        </w:tc>
        <w:tc>
          <w:tcPr>
            <w:tcW w:type="dxa" w:w="540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认证流程中 / 需关注（默认值）</w:t>
            </w:r>
          </w:p>
        </w:tc>
        <w:tc>
          <w:tcPr>
            <w:tcW w:type="dxa" w:w="197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黄</w:t>
            </w:r>
          </w:p>
        </w:tc>
      </w:tr>
      <w:tr>
        <w:trPr>
          <w:tblHeader w:val="false"/>
        </w:trPr>
        <w:tc>
          <w:tcPr>
            <w:tcW w:type="dxa" w:w="165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红区</w:t>
            </w:r>
          </w:p>
        </w:tc>
        <w:tc>
          <w:tcPr>
            <w:tcW w:type="dxa" w:w="540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已过期 / 失效 / 淘汰（需尽快处理）</w:t>
            </w:r>
          </w:p>
        </w:tc>
        <w:tc>
          <w:tcPr>
            <w:tcW w:type="dxa" w:w="197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红</w:t>
            </w:r>
          </w:p>
        </w:tc>
      </w:tr>
    </w:tbl>
    <w:p>
      <w:pPr>
        <w:spacing w:after="120" w:before="20"/>
      </w:pP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历史 6 态到三区的迁移口径（老库启动自动执行）：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42"/>
        <w:gridCol w:w="2584"/>
      </w:tblGrid>
      <w:tr>
        <w:trPr>
          <w:tblHeader/>
        </w:trPr>
        <w:tc>
          <w:tcPr>
            <w:tcW w:type="dxa" w:w="644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原状态</w:t>
            </w:r>
          </w:p>
        </w:tc>
        <w:tc>
          <w:tcPr>
            <w:tcW w:type="dxa" w:w="258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新状态</w:t>
            </w:r>
          </w:p>
        </w:tc>
      </w:tr>
      <w:tr>
        <w:trPr>
          <w:tblHeader w:val="false"/>
        </w:trPr>
        <w:tc>
          <w:tcPr>
            <w:tcW w:type="dxa" w:w="644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已认证 + 到期日 &lt; 今天</w:t>
            </w:r>
          </w:p>
        </w:tc>
        <w:tc>
          <w:tcPr>
            <w:tcW w:type="dxa" w:w="258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红区</w:t>
            </w:r>
          </w:p>
        </w:tc>
      </w:tr>
      <w:tr>
        <w:trPr>
          <w:tblHeader w:val="false"/>
        </w:trPr>
        <w:tc>
          <w:tcPr>
            <w:tcW w:type="dxa" w:w="644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已认证（未过期）</w:t>
            </w:r>
          </w:p>
        </w:tc>
        <w:tc>
          <w:tcPr>
            <w:tcW w:type="dxa" w:w="258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绿区</w:t>
            </w:r>
          </w:p>
        </w:tc>
      </w:tr>
      <w:tr>
        <w:trPr>
          <w:tblHeader w:val="false"/>
        </w:trPr>
        <w:tc>
          <w:tcPr>
            <w:tcW w:type="dxa" w:w="644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开发中 / 送样测试 / 认证中</w:t>
            </w:r>
          </w:p>
        </w:tc>
        <w:tc>
          <w:tcPr>
            <w:tcW w:type="dxa" w:w="258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黄区</w:t>
            </w:r>
          </w:p>
        </w:tc>
      </w:tr>
      <w:tr>
        <w:trPr>
          <w:tblHeader w:val="false"/>
        </w:trPr>
        <w:tc>
          <w:tcPr>
            <w:tcW w:type="dxa" w:w="644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已失效 / 已淘汰</w:t>
            </w:r>
          </w:p>
        </w:tc>
        <w:tc>
          <w:tcPr>
            <w:tcW w:type="dxa" w:w="258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红区</w:t>
            </w:r>
          </w:p>
        </w:tc>
      </w:tr>
    </w:tbl>
    <w:p>
      <w:pPr>
        <w:spacing w:after="120" w:before="20"/>
      </w:pP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看板口径：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绿区数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= 认证有效数（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certOk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）；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黄区数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= 认证流程中（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inProgress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）；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红区列表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= 已过期/失效/淘汰，按到期日排序（无到期日排最后），最多 20 条；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临期预警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= 绿区且到期日在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[今天, 今天+90天]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，按到期日升序，最多 20 条；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资料覆盖率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= 某资料项状态为「有」的物料数 ÷ 物料总数（百分比取整）。</w:t>
      </w:r>
    </w:p>
    <w:p>
      <w:pPr>
        <w:pBdr>
          <w:left w:val="single" w:color="B7C7DA" w:sz="12" w:space="8"/>
        </w:pBdr>
        <w:shd w:fill="F7FAFD" w:val="clear"/>
        <w:spacing w:after="40" w:before="40" w:line="288"/>
        <w:ind w:left="360"/>
      </w:pPr>
      <w:r>
        <w:rPr>
          <w:rFonts w:ascii="Calibri" w:cs="Calibri" w:eastAsia="微软雅黑" w:hAnsi="Calibri"/>
          <w:b w:val="false"/>
          <w:bCs w:val="false"/>
          <w:color w:val="44546A"/>
          <w:sz w:val="20"/>
          <w:szCs w:val="20"/>
        </w:rPr>
        <w:t xml:space="preserve">状态目前为</w:t>
      </w:r>
      <w:r>
        <w:rPr>
          <w:rFonts w:ascii="Calibri" w:cs="Calibri" w:eastAsia="微软雅黑" w:hAnsi="Calibri"/>
          <w:b/>
          <w:bCs/>
          <w:color w:val="44546A"/>
          <w:sz w:val="20"/>
          <w:szCs w:val="20"/>
        </w:rPr>
        <w:t xml:space="preserve">人工维护</w:t>
      </w:r>
      <w:r>
        <w:rPr>
          <w:rFonts w:ascii="Calibri" w:cs="Calibri" w:eastAsia="微软雅黑" w:hAnsi="Calibri"/>
          <w:b w:val="false"/>
          <w:bCs w:val="false"/>
          <w:color w:val="44546A"/>
          <w:sz w:val="20"/>
          <w:szCs w:val="20"/>
        </w:rPr>
        <w:t xml:space="preserve">，系统不做"到期日自动翻红"的定时任务；到期/临期通过看板与徽章提示，需人工改状态（见第 10 章规划）。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5.2 资料齐套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四类资料：ROHS、REACH、MSDS、规格书；状态枚举：有 / 无 / 待补（默认待补）。资料缺失可通过「资料覆盖率」看板与列表徽章识别。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5.3 物料编码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未填编码时自动生成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M-&lt;年份&gt;-&lt;4位序号&gt;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：取当年已有编码的最大序号 +1，不足 4 位左补 0。编码全局唯一，重复导入会报「编码已存在」。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5.4 分页与筛选口径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6"/>
        <w:gridCol w:w="2069"/>
        <w:gridCol w:w="1810"/>
        <w:gridCol w:w="1531"/>
      </w:tblGrid>
      <w:tr>
        <w:trPr>
          <w:tblHeader/>
        </w:trPr>
        <w:tc>
          <w:tcPr>
            <w:tcW w:type="dxa" w:w="361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模块</w:t>
            </w:r>
          </w:p>
        </w:tc>
        <w:tc>
          <w:tcPr>
            <w:tcW w:type="dxa" w:w="206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默认每页</w:t>
            </w:r>
          </w:p>
        </w:tc>
        <w:tc>
          <w:tcPr>
            <w:tcW w:type="dxa" w:w="181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上限</w:t>
            </w:r>
          </w:p>
        </w:tc>
        <w:tc>
          <w:tcPr>
            <w:tcW w:type="dxa" w:w="15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备注</w:t>
            </w:r>
          </w:p>
        </w:tc>
      </w:tr>
      <w:tr>
        <w:trPr>
          <w:tblHeader w:val="false"/>
        </w:trPr>
        <w:tc>
          <w:tcPr>
            <w:tcW w:type="dxa" w:w="361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物料（含选型物料清单）</w:t>
            </w:r>
          </w:p>
        </w:tc>
        <w:tc>
          <w:tcPr>
            <w:tcW w:type="dxa" w:w="206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81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5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1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BOM 信息</w:t>
            </w:r>
          </w:p>
        </w:tc>
        <w:tc>
          <w:tcPr>
            <w:tcW w:type="dxa" w:w="206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81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5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1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预研专项 / 在研项目</w:t>
            </w:r>
          </w:p>
        </w:tc>
        <w:tc>
          <w:tcPr>
            <w:tcW w:type="dxa" w:w="206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1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5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1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稽核</w:t>
            </w:r>
          </w:p>
        </w:tc>
        <w:tc>
          <w:tcPr>
            <w:tcW w:type="dxa" w:w="206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1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5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1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QCP</w:t>
            </w:r>
          </w:p>
        </w:tc>
        <w:tc>
          <w:tcPr>
            <w:tcW w:type="dxa" w:w="206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1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100</w:t>
            </w:r>
          </w:p>
        </w:tc>
        <w:tc>
          <w:tcPr>
            <w:tcW w:type="dxa" w:w="15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3616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</w:t>
            </w:r>
          </w:p>
        </w:tc>
        <w:tc>
          <w:tcPr>
            <w:tcW w:type="dxa" w:w="2069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不分页</w:t>
            </w:r>
          </w:p>
        </w:tc>
        <w:tc>
          <w:tcPr>
            <w:tcW w:type="dxa" w:w="181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500 条</w:t>
            </w:r>
          </w:p>
        </w:tc>
        <w:tc>
          <w:tcPr>
            <w:tcW w:type="dxa" w:w="15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20"/>
      </w:pP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所有列表默认按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id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升序（看板「最近」列表按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id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降序）。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5.5 统计口径注意事项</w:t>
      </w:r>
    </w:p>
    <w:p>
      <w:pPr>
        <w:pStyle w:val="ListParagraph"/>
        <w:numPr>
          <w:ilvl w:val="0"/>
          <w:numId w:val="5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预研/在研按 </w:t>
      </w:r>
      <w:r>
        <w:rPr>
          <w:rFonts w:ascii="Consolas" w:cs="Consolas" w:eastAsia="微软雅黑" w:hAnsi="Consolas"/>
          <w:b/>
          <w:bCs/>
          <w:color w:val="A8300F"/>
          <w:sz w:val="21"/>
          <w:szCs w:val="21"/>
          <w:shd w:fill="F5F7F9" w:val="clear"/>
        </w:rPr>
        <w:t xml:space="preserve">kind</w:t>
      </w:r>
      <w:r>
        <w:rPr>
          <w:rFonts w:ascii="Calibri" w:cs="Calibri" w:eastAsia="微软雅黑" w:hAnsi="Calibri"/>
          <w:b/>
          <w:bCs/>
          <w:sz w:val="21"/>
          <w:szCs w:val="21"/>
        </w:rPr>
        <w:t xml:space="preserve"> 隔离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：列表、导出、看板默认只看当前清单；看板可通过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kind=prestudy|research|all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切换统计范围。</w:t>
      </w:r>
    </w:p>
    <w:p>
      <w:pPr>
        <w:pStyle w:val="ListParagraph"/>
        <w:numPr>
          <w:ilvl w:val="0"/>
          <w:numId w:val="5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风险点不等于项目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issueTotal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统计风险点行数，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projectTotal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按项目名称去重计数。</w:t>
      </w:r>
    </w:p>
    <w:p>
      <w:pPr>
        <w:pStyle w:val="ListParagraph"/>
        <w:numPr>
          <w:ilvl w:val="0"/>
          <w:numId w:val="5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稽核问题个数为估算值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：由稽核内容文本按编号/换行推算，非结构化字段统计。</w:t>
      </w:r>
    </w:p>
    <w:p>
      <w:pPr>
        <w:pStyle w:val="ListParagraph"/>
        <w:numPr>
          <w:ilvl w:val="0"/>
          <w:numId w:val="5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统计均遵循数据范围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：非超管用户看到的看板数字仅含其授权品类/供应商范围。</w:t>
      </w:r>
    </w:p>
    <w:p>
      <w:pPr>
        <w:pBdr>
          <w:bottom w:val="single" w:color="D6DCE4" w:sz="6" w:space="1"/>
        </w:pBdr>
        <w:spacing w:after="100" w:before="100"/>
      </w:pPr>
    </w:p>
    <w:p>
      <w:pPr>
        <w:pStyle w:val="Heading1"/>
        <w:pageBreakBefore/>
      </w:pPr>
      <w:r>
        <w:rPr>
          <w:rFonts w:ascii="Calibri" w:cs="Calibri" w:eastAsia="微软雅黑" w:hAnsi="Calibri"/>
          <w:b w:val="false"/>
          <w:bCs w:val="false"/>
        </w:rPr>
        <w:t xml:space="preserve">6. 数据模型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6.1 业务表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0"/>
        <w:gridCol w:w="2185"/>
        <w:gridCol w:w="4851"/>
      </w:tblGrid>
      <w:tr>
        <w:trPr>
          <w:tblHeader/>
        </w:trPr>
        <w:tc>
          <w:tcPr>
            <w:tcW w:type="dxa" w:w="19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表</w:t>
            </w:r>
          </w:p>
        </w:tc>
        <w:tc>
          <w:tcPr>
            <w:tcW w:type="dxa" w:w="218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说明</w:t>
            </w:r>
          </w:p>
        </w:tc>
        <w:tc>
          <w:tcPr>
            <w:tcW w:type="dxa" w:w="485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关键字段</w:t>
            </w:r>
          </w:p>
        </w:tc>
      </w:tr>
      <w:tr>
        <w:trPr>
          <w:tblHeader w:val="false"/>
        </w:trPr>
        <w:tc>
          <w:tcPr>
            <w:tcW w:type="dxa" w:w="19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materials</w:t>
            </w:r>
          </w:p>
        </w:tc>
        <w:tc>
          <w:tcPr>
            <w:tcW w:type="dxa" w:w="218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物料台账</w:t>
            </w:r>
          </w:p>
        </w:tc>
        <w:tc>
          <w:tcPr>
            <w:tcW w:type="dxa" w:w="485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code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(唯一)、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name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model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category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supplier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manufacturer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unit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status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cert_expire_date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rohs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reach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msds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datasheet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applied_by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applied_at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remark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created_at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updated_at</w:t>
            </w:r>
          </w:p>
        </w:tc>
      </w:tr>
      <w:tr>
        <w:trPr>
          <w:tblHeader w:val="false"/>
        </w:trPr>
        <w:tc>
          <w:tcPr>
            <w:tcW w:type="dxa" w:w="19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projects</w:t>
            </w:r>
          </w:p>
        </w:tc>
        <w:tc>
          <w:tcPr>
            <w:tcW w:type="dxa" w:w="218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BOM 信息</w:t>
            </w:r>
          </w:p>
        </w:tc>
        <w:tc>
          <w:tcPr>
            <w:tcW w:type="dxa" w:w="485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supplier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category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project_name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flow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source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+ 31 个规格字段（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baseline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mass_production_sample_date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project_size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mod_factory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mod_part_no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panel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ic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cg_factory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cg_material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fpc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oca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pol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cog_acf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fog_acf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component_sealant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one_line_glue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face_glue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silver_paste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silicone_glue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blind_hole_glue_1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blind_hole_glue_2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backlight_factory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shading_tape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upper_lower_brightness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diffuser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led_glue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reflector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led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lgp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glue_frame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iron_frame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19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suppliers</w:t>
            </w:r>
          </w:p>
        </w:tc>
        <w:tc>
          <w:tcPr>
            <w:tcW w:type="dxa" w:w="218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供应商档案</w:t>
            </w:r>
          </w:p>
        </w:tc>
        <w:tc>
          <w:tcPr>
            <w:tcW w:type="dxa" w:w="485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name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contact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phone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email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address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category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rating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status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remark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material_type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company_profile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product_type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capacity_phone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module_customers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terminal_customers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system_capability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automation_capability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inspection_capability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traceability_capability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testing_capability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rework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strengths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weaknesses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attachment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audit_address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audit_time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audit_members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audit_result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qsa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qpa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audit_record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mass_production_record</w:t>
            </w:r>
          </w:p>
        </w:tc>
      </w:tr>
      <w:tr>
        <w:trPr>
          <w:tblHeader w:val="false"/>
        </w:trPr>
        <w:tc>
          <w:tcPr>
            <w:tcW w:type="dxa" w:w="19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audits</w:t>
            </w:r>
          </w:p>
        </w:tc>
        <w:tc>
          <w:tcPr>
            <w:tcW w:type="dxa" w:w="218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稽核记录</w:t>
            </w:r>
          </w:p>
        </w:tc>
        <w:tc>
          <w:tcPr>
            <w:tcW w:type="dxa" w:w="485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supplier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audit_date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auditor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material_type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scope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result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score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summary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19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prestudies</w:t>
            </w:r>
          </w:p>
        </w:tc>
        <w:tc>
          <w:tcPr>
            <w:tcW w:type="dxa" w:w="218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预研专项 / 在研项目风险</w:t>
            </w:r>
          </w:p>
        </w:tc>
        <w:tc>
          <w:tcPr>
            <w:tcW w:type="dxa" w:w="485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category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supplier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topic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risk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progress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milestone_lx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milestone_p1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milestone_p2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milestone_p3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status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owner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kind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source</w:t>
            </w:r>
          </w:p>
        </w:tc>
      </w:tr>
      <w:tr>
        <w:trPr>
          <w:tblHeader w:val="false"/>
        </w:trPr>
        <w:tc>
          <w:tcPr>
            <w:tcW w:type="dxa" w:w="19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qcps</w:t>
            </w:r>
          </w:p>
        </w:tc>
        <w:tc>
          <w:tcPr>
            <w:tcW w:type="dxa" w:w="218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质量控制计划</w:t>
            </w:r>
          </w:p>
        </w:tc>
        <w:tc>
          <w:tcPr>
            <w:tcW w:type="dxa" w:w="485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category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name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supplier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process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control_item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spec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method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freq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device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responsible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status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remark</w:t>
            </w:r>
          </w:p>
        </w:tc>
      </w:tr>
      <w:tr>
        <w:trPr>
          <w:tblHeader w:val="false"/>
        </w:trPr>
        <w:tc>
          <w:tcPr>
            <w:tcW w:type="dxa" w:w="19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categories</w:t>
            </w:r>
          </w:p>
        </w:tc>
        <w:tc>
          <w:tcPr>
            <w:tcW w:type="dxa" w:w="218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旧版简单品类</w:t>
            </w:r>
          </w:p>
        </w:tc>
        <w:tc>
          <w:tcPr>
            <w:tcW w:type="dxa" w:w="485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name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(唯一)</w:t>
            </w:r>
          </w:p>
        </w:tc>
      </w:tr>
      <w:tr>
        <w:trPr>
          <w:tblHeader w:val="false"/>
        </w:trPr>
        <w:tc>
          <w:tcPr>
            <w:tcW w:type="dxa" w:w="199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material_categories</w:t>
            </w:r>
          </w:p>
        </w:tc>
        <w:tc>
          <w:tcPr>
            <w:tcW w:type="dxa" w:w="218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三级品类树</w:t>
            </w:r>
          </w:p>
        </w:tc>
        <w:tc>
          <w:tcPr>
            <w:tcW w:type="dxa" w:w="485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big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mid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small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6.2 权限与系统表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4"/>
        <w:gridCol w:w="5732"/>
      </w:tblGrid>
      <w:tr>
        <w:trPr>
          <w:tblHeader/>
        </w:trPr>
        <w:tc>
          <w:tcPr>
            <w:tcW w:type="dxa" w:w="329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表</w:t>
            </w:r>
          </w:p>
        </w:tc>
        <w:tc>
          <w:tcPr>
            <w:tcW w:type="dxa" w:w="573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users</w:t>
            </w:r>
          </w:p>
        </w:tc>
        <w:tc>
          <w:tcPr>
            <w:tcW w:type="dxa" w:w="573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账号：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username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(唯一)、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password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display_name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status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is_super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roles</w:t>
            </w:r>
          </w:p>
        </w:tc>
        <w:tc>
          <w:tcPr>
            <w:tcW w:type="dxa" w:w="573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角色：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code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(唯一)、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name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description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built_in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permissions</w:t>
            </w:r>
          </w:p>
        </w:tc>
        <w:tc>
          <w:tcPr>
            <w:tcW w:type="dxa" w:w="573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权限码：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code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(唯一)、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name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kind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（menu/action）、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sort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role_permissions</w:t>
            </w:r>
          </w:p>
        </w:tc>
        <w:tc>
          <w:tcPr>
            <w:tcW w:type="dxa" w:w="573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角色 ↔ 权限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user_roles</w:t>
            </w:r>
          </w:p>
        </w:tc>
        <w:tc>
          <w:tcPr>
            <w:tcW w:type="dxa" w:w="573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用户 ↔ 角色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user_category_scopes</w:t>
            </w:r>
          </w:p>
        </w:tc>
        <w:tc>
          <w:tcPr>
            <w:tcW w:type="dxa" w:w="573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用户可见品类范围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user_supplier_scopes</w:t>
            </w:r>
          </w:p>
        </w:tc>
        <w:tc>
          <w:tcPr>
            <w:tcW w:type="dxa" w:w="573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用户可见供应商范围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user_purchase_group_scopes</w:t>
            </w:r>
          </w:p>
        </w:tc>
        <w:tc>
          <w:tcPr>
            <w:tcW w:type="dxa" w:w="573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采购组范围（预留未启用）</w:t>
            </w:r>
          </w:p>
        </w:tc>
      </w:tr>
      <w:tr>
        <w:trPr>
          <w:tblHeader w:val="false"/>
        </w:trPr>
        <w:tc>
          <w:tcPr>
            <w:tcW w:type="dxa" w:w="329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sys_flags</w:t>
            </w:r>
          </w:p>
        </w:tc>
        <w:tc>
          <w:tcPr>
            <w:tcW w:type="dxa" w:w="573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系统标记（如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roles_seeded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6.3 迁移约束（老库升级）</w:t>
      </w:r>
    </w:p>
    <w:p>
      <w:pPr>
        <w:spacing w:after="60" w:before="60" w:line="300"/>
        <w:jc w:val="both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所有新增字段必须提供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PRAGMA table_info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检测 +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ALTER TABLE ... ADD COLUMN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的迁移逻辑（字段默认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TEXT DEFAULT ''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），保证老库启动即平滑升级；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prestudies.kind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首次加列时须把存量记录统一归为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research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。</w:t>
      </w:r>
    </w:p>
    <w:p>
      <w:pPr>
        <w:pBdr>
          <w:bottom w:val="single" w:color="D6DCE4" w:sz="6" w:space="1"/>
        </w:pBdr>
        <w:spacing w:after="100" w:before="100"/>
      </w:pPr>
    </w:p>
    <w:p>
      <w:pPr>
        <w:pStyle w:val="Heading1"/>
        <w:pageBreakBefore/>
      </w:pPr>
      <w:r>
        <w:rPr>
          <w:rFonts w:ascii="Calibri" w:cs="Calibri" w:eastAsia="微软雅黑" w:hAnsi="Calibri"/>
          <w:b w:val="false"/>
          <w:bCs w:val="false"/>
        </w:rPr>
        <w:t xml:space="preserve">7. 接口契约（摘要）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7.1 通用约定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前缀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/api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，除登录/登出外均需登录；返回 JSON，错误体为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{ "message": "..." }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字段命名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snake_case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，与数据库列一致。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列表统一返回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{ total, page, pageSize, items }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（物料另有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page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pageSize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）；预研/稽核/QCP 额外返回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pages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。</w:t>
      </w:r>
    </w:p>
    <w:p>
      <w:pPr>
        <w:pStyle w:val="ListParagraph"/>
        <w:numPr>
          <w:ilvl w:val="0"/>
          <w:numId w:val="4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批量导入返回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{ success, skipped, errors }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（错误项含行号与原因）。</w:t>
      </w: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7.2 接口清单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5"/>
        <w:gridCol w:w="6331"/>
      </w:tblGrid>
      <w:tr>
        <w:trPr>
          <w:tblHeader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模块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接口</w:t>
            </w:r>
          </w:p>
        </w:tc>
      </w:tr>
      <w:tr>
        <w:trPr>
          <w:tblHeader w:val="false"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认证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/api/login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/api/logout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/api/me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/api/permissions</w:t>
            </w:r>
          </w:p>
        </w:tc>
      </w:tr>
      <w:tr>
        <w:trPr>
          <w:tblHeader w:val="false"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用户/角色（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page:admin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GET/POST /api/users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PUT/DELETE /api/users/:id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GET/POST /api/roles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PUT/DELETE /api/roles/:id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/api/roles/:id/permissions</w:t>
            </w:r>
          </w:p>
        </w:tc>
      </w:tr>
      <w:tr>
        <w:trPr>
          <w:tblHeader w:val="false"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元数据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/api/meta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（状态 / 资料状态 / 品类 / 供应商）、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/api/stats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（物料看板）</w:t>
            </w:r>
          </w:p>
        </w:tc>
      </w:tr>
      <w:tr>
        <w:trPr>
          <w:tblHeader w:val="false"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物料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GET/POST /api/materials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PUT/DELETE /api/materials/:id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/api/materials/batch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/api/materials/export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/api/check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（查重）、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/api/categories</w:t>
            </w:r>
          </w:p>
        </w:tc>
      </w:tr>
      <w:tr>
        <w:trPr>
          <w:tblHeader w:val="false"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品类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GET/POST /api/material-categories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PUT /api/material-categories/:id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DELETE /api/material-categories/:id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DELETE /api/material-categories/batch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/api/material-categories/batch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/api/material-categories/export</w:t>
            </w:r>
          </w:p>
        </w:tc>
      </w:tr>
      <w:tr>
        <w:trPr>
          <w:tblHeader w:val="false"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BOM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GET/POST /api/projects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PUT/DELETE /api/projects/:id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/api/projects/batch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/api/projects/export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/api/projects/stats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/api/projects/extract</w:t>
            </w:r>
          </w:p>
        </w:tc>
      </w:tr>
      <w:tr>
        <w:trPr>
          <w:tblHeader w:val="false"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预研/在研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GET/POST /api/prestudies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PUT/DELETE /api/prestudies/:id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/api/prestudies/batch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/api/prestudies/export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/api/prestudies/stats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/api/prestudies/extract</w:t>
            </w:r>
          </w:p>
        </w:tc>
      </w:tr>
      <w:tr>
        <w:trPr>
          <w:tblHeader w:val="false"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GET/POST /api/suppliers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PUT/DELETE /api/suppliers/:id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/api/suppliers/batch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/api/suppliers/export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/api/suppliers/stats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/api/upload</w:t>
            </w:r>
          </w:p>
        </w:tc>
      </w:tr>
      <w:tr>
        <w:trPr>
          <w:tblHeader w:val="false"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稽核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GET/POST /api/audits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PUT/DELETE /api/audits/:id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/api/audits/batch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/api/audits/export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/api/audits/stats</w:t>
            </w:r>
          </w:p>
        </w:tc>
      </w:tr>
      <w:tr>
        <w:trPr>
          <w:tblHeader w:val="false"/>
        </w:trPr>
        <w:tc>
          <w:tcPr>
            <w:tcW w:type="dxa" w:w="269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QCP</w:t>
            </w:r>
          </w:p>
        </w:tc>
        <w:tc>
          <w:tcPr>
            <w:tcW w:type="dxa" w:w="6331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GET/POST /api/qcps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PUT/DELETE /api/qcps/:id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POST /api/qcps/batch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/api/qcps/export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GET /api/qcps/stats</w:t>
            </w:r>
          </w:p>
        </w:tc>
      </w:tr>
    </w:tbl>
    <w:p>
      <w:pPr>
        <w:spacing w:after="120" w:before="20"/>
      </w:pPr>
    </w:p>
    <w:p>
      <w:pPr>
        <w:pStyle w:val="Heading2"/>
      </w:pPr>
      <w:r>
        <w:rPr>
          <w:rFonts w:ascii="Calibri" w:cs="Calibri" w:eastAsia="微软雅黑" w:hAnsi="Calibri"/>
          <w:b w:val="false"/>
          <w:bCs w:val="false"/>
        </w:rPr>
        <w:t xml:space="preserve">7.3 环境变量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74"/>
        <w:gridCol w:w="2972"/>
        <w:gridCol w:w="3880"/>
      </w:tblGrid>
      <w:tr>
        <w:trPr>
          <w:tblHeader/>
        </w:trPr>
        <w:tc>
          <w:tcPr>
            <w:tcW w:type="dxa" w:w="217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变量</w:t>
            </w:r>
          </w:p>
        </w:tc>
        <w:tc>
          <w:tcPr>
            <w:tcW w:type="dxa" w:w="297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默认值</w:t>
            </w:r>
          </w:p>
        </w:tc>
        <w:tc>
          <w:tcPr>
            <w:tcW w:type="dxa" w:w="388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17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PORT</w:t>
            </w:r>
          </w:p>
        </w:tc>
        <w:tc>
          <w:tcPr>
            <w:tcW w:type="dxa" w:w="297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3000</w:t>
            </w:r>
          </w:p>
        </w:tc>
        <w:tc>
          <w:tcPr>
            <w:tcW w:type="dxa" w:w="388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监听端口</w:t>
            </w:r>
          </w:p>
        </w:tc>
      </w:tr>
      <w:tr>
        <w:trPr>
          <w:tblHeader w:val="false"/>
        </w:trPr>
        <w:tc>
          <w:tcPr>
            <w:tcW w:type="dxa" w:w="217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HOST</w:t>
            </w:r>
          </w:p>
        </w:tc>
        <w:tc>
          <w:tcPr>
            <w:tcW w:type="dxa" w:w="297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0.0.0.0</w:t>
            </w:r>
          </w:p>
        </w:tc>
        <w:tc>
          <w:tcPr>
            <w:tcW w:type="dxa" w:w="388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监听地址（分离部署建议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127.0.0.1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217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SERVE_STATIC</w:t>
            </w:r>
          </w:p>
        </w:tc>
        <w:tc>
          <w:tcPr>
            <w:tcW w:type="dxa" w:w="297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1</w:t>
            </w:r>
          </w:p>
        </w:tc>
        <w:tc>
          <w:tcPr>
            <w:tcW w:type="dxa" w:w="388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0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= 不托管前端，仅提供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/api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与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/uploads</w:t>
            </w:r>
          </w:p>
        </w:tc>
      </w:tr>
      <w:tr>
        <w:trPr>
          <w:tblHeader w:val="false"/>
        </w:trPr>
        <w:tc>
          <w:tcPr>
            <w:tcW w:type="dxa" w:w="217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SESSION_SECRET</w:t>
            </w:r>
          </w:p>
        </w:tc>
        <w:tc>
          <w:tcPr>
            <w:tcW w:type="dxa" w:w="297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开发默认值</w:t>
            </w:r>
          </w:p>
        </w:tc>
        <w:tc>
          <w:tcPr>
            <w:tcW w:type="dxa" w:w="388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/>
                <w:bCs/>
                <w:color w:val="000000"/>
                <w:sz w:val="19"/>
                <w:szCs w:val="19"/>
              </w:rPr>
              <w:t xml:space="preserve">生产必须替换</w:t>
            </w:r>
          </w:p>
        </w:tc>
      </w:tr>
      <w:tr>
        <w:trPr>
          <w:tblHeader w:val="false"/>
        </w:trPr>
        <w:tc>
          <w:tcPr>
            <w:tcW w:type="dxa" w:w="217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AI_API_KEY</w:t>
            </w:r>
          </w:p>
        </w:tc>
        <w:tc>
          <w:tcPr>
            <w:tcW w:type="dxa" w:w="297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无</w:t>
            </w:r>
          </w:p>
        </w:tc>
        <w:tc>
          <w:tcPr>
            <w:tcW w:type="dxa" w:w="388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未配置则仅规则提取</w:t>
            </w:r>
          </w:p>
        </w:tc>
      </w:tr>
      <w:tr>
        <w:trPr>
          <w:tblHeader w:val="false"/>
        </w:trPr>
        <w:tc>
          <w:tcPr>
            <w:tcW w:type="dxa" w:w="217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AI_BASE_URL</w:t>
            </w:r>
          </w:p>
        </w:tc>
        <w:tc>
          <w:tcPr>
            <w:tcW w:type="dxa" w:w="297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https://api.openai.com/v1</w:t>
            </w:r>
          </w:p>
        </w:tc>
        <w:tc>
          <w:tcPr>
            <w:tcW w:type="dxa" w:w="388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OpenAI 兼容地址</w:t>
            </w:r>
          </w:p>
        </w:tc>
      </w:tr>
      <w:tr>
        <w:trPr>
          <w:tblHeader w:val="false"/>
        </w:trPr>
        <w:tc>
          <w:tcPr>
            <w:tcW w:type="dxa" w:w="217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AI_MODEL</w:t>
            </w:r>
          </w:p>
        </w:tc>
        <w:tc>
          <w:tcPr>
            <w:tcW w:type="dxa" w:w="297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gpt-4o-mini</w:t>
            </w:r>
          </w:p>
        </w:tc>
        <w:tc>
          <w:tcPr>
            <w:tcW w:type="dxa" w:w="3880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提取所用模型</w:t>
            </w:r>
          </w:p>
        </w:tc>
      </w:tr>
    </w:tbl>
    <w:p>
      <w:pPr>
        <w:spacing w:after="120" w:before="20"/>
      </w:pPr>
    </w:p>
    <w:p>
      <w:pPr>
        <w:pBdr>
          <w:bottom w:val="single" w:color="D6DCE4" w:sz="6" w:space="1"/>
        </w:pBdr>
        <w:spacing w:after="100" w:before="100"/>
      </w:pPr>
    </w:p>
    <w:p>
      <w:pPr>
        <w:pStyle w:val="Heading1"/>
        <w:pageBreakBefore/>
      </w:pPr>
      <w:r>
        <w:rPr>
          <w:rFonts w:ascii="Calibri" w:cs="Calibri" w:eastAsia="微软雅黑" w:hAnsi="Calibri"/>
          <w:b w:val="false"/>
          <w:bCs w:val="false"/>
        </w:rPr>
        <w:t xml:space="preserve">8. 非功能需求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2"/>
        <w:gridCol w:w="7264"/>
      </w:tblGrid>
      <w:tr>
        <w:trPr>
          <w:tblHeader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类别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需求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性能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常规列表查询（万级数据）响应 &lt; 1s；统计看板 &lt; 2s；导出 1 万行 &lt; 10s；前端 ECharts 与 xlsx 按需懒加载，首屏不引入大体积依赖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容量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单机 SQLite 支撑十万级物料/稽核记录；供应商列表接口上限 500 条，超出需分页改造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安全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会话 httpOnly cookie；接口双层权限校验；数据范围在 SQL 层过滤；上传文件大小与非法字符限制；建议生产环境强制 HTTPS + 替换默认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SESSION_SECRET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+ 修改默认管理员密码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兼容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桌面端主流浏览器（Chrome / Edge 最新版）；局域网访问；无移动端适配要求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可用性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列表空态、加载态、错误提示 Toast、危险操作二次确认；导入结果给出成功/跳过/失败明细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可维护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字段白名单与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pickX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集中定义；老库迁移脚本幂等；新增字段需同步四处（建表/迁移/接口/前端）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可观测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服务启动打印访问地址与运行模式；解析/AI 提取失败降级并打印日志</w:t>
            </w:r>
          </w:p>
        </w:tc>
      </w:tr>
      <w:tr>
        <w:trPr>
          <w:tblHeader w:val="false"/>
        </w:trPr>
        <w:tc>
          <w:tcPr>
            <w:tcW w:type="dxa" w:w="1762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数据安全</w:t>
            </w:r>
          </w:p>
        </w:tc>
        <w:tc>
          <w:tcPr>
            <w:tcW w:type="dxa" w:w="7264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data/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、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uploads/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不入版本库；提供导出 Excel 作为数据备份手段</w:t>
            </w:r>
          </w:p>
        </w:tc>
      </w:tr>
    </w:tbl>
    <w:p>
      <w:pPr>
        <w:spacing w:after="120" w:before="20"/>
      </w:pPr>
    </w:p>
    <w:p>
      <w:pPr>
        <w:pBdr>
          <w:bottom w:val="single" w:color="D6DCE4" w:sz="6" w:space="1"/>
        </w:pBdr>
        <w:spacing w:after="100" w:before="100"/>
      </w:pPr>
    </w:p>
    <w:p>
      <w:pPr>
        <w:pStyle w:val="Heading1"/>
        <w:pageBreakBefore/>
      </w:pPr>
      <w:r>
        <w:rPr>
          <w:rFonts w:ascii="Calibri" w:cs="Calibri" w:eastAsia="微软雅黑" w:hAnsi="Calibri"/>
          <w:b w:val="false"/>
          <w:bCs w:val="false"/>
        </w:rPr>
        <w:t xml:space="preserve">9. 边界与不做的事</w:t>
      </w:r>
    </w:p>
    <w:p>
      <w:pPr>
        <w:pStyle w:val="ListParagraph"/>
        <w:numPr>
          <w:ilvl w:val="0"/>
          <w:numId w:val="6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无审批流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：物料认证状态由人工直接修改，系统不提供多级审批、签核、驳回、留痕。</w:t>
      </w:r>
    </w:p>
    <w:p>
      <w:pPr>
        <w:pStyle w:val="ListParagraph"/>
        <w:numPr>
          <w:ilvl w:val="0"/>
          <w:numId w:val="6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无消息通知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：临期/到期不做邮件或站内提醒，依赖人工查看看板。</w:t>
      </w:r>
    </w:p>
    <w:p>
      <w:pPr>
        <w:pStyle w:val="ListParagraph"/>
        <w:numPr>
          <w:ilvl w:val="0"/>
          <w:numId w:val="6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无字段级权限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：数据范围为记录级（品类/供应商），不支持"某字段仅管理员可见"。</w:t>
      </w:r>
    </w:p>
    <w:p>
      <w:pPr>
        <w:pStyle w:val="ListParagraph"/>
        <w:numPr>
          <w:ilvl w:val="0"/>
          <w:numId w:val="6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无操作审计日志界面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：仅保留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created_at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/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updated_at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，不支持操作人追溯。</w:t>
      </w:r>
    </w:p>
    <w:p>
      <w:pPr>
        <w:pStyle w:val="ListParagraph"/>
        <w:numPr>
          <w:ilvl w:val="0"/>
          <w:numId w:val="6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密码为明文存储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：仅适用于内网可信环境。</w:t>
      </w:r>
    </w:p>
    <w:p>
      <w:pPr>
        <w:pStyle w:val="ListParagraph"/>
        <w:numPr>
          <w:ilvl w:val="0"/>
          <w:numId w:val="6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无外部系统集成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：不与 ERP / MES / PLM / SRM 打通，数据以 Excel 导入导出为交换方式。</w:t>
      </w:r>
    </w:p>
    <w:p>
      <w:pPr>
        <w:pStyle w:val="ListParagraph"/>
        <w:numPr>
          <w:ilvl w:val="0"/>
          <w:numId w:val="6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无并发编辑锁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：多人同时编辑同一条记录时后写覆盖先写。</w:t>
      </w:r>
    </w:p>
    <w:p>
      <w:pPr>
        <w:pStyle w:val="ListParagraph"/>
        <w:numPr>
          <w:ilvl w:val="0"/>
          <w:numId w:val="6"/>
        </w:numPr>
        <w:spacing w:after="20" w:before="20" w:line="288"/>
      </w:pPr>
      <w:r>
        <w:rPr>
          <w:rFonts w:ascii="Calibri" w:cs="Calibri" w:eastAsia="微软雅黑" w:hAnsi="Calibri"/>
          <w:b/>
          <w:bCs/>
          <w:sz w:val="21"/>
          <w:szCs w:val="21"/>
        </w:rPr>
        <w:t xml:space="preserve">AI 提取依赖外网与密钥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：未配置时功能降级为关键词规则提取，准确率有限。</w:t>
      </w:r>
    </w:p>
    <w:p>
      <w:pPr>
        <w:pBdr>
          <w:bottom w:val="single" w:color="D6DCE4" w:sz="6" w:space="1"/>
        </w:pBdr>
        <w:spacing w:after="100" w:before="100"/>
      </w:pPr>
    </w:p>
    <w:p>
      <w:pPr>
        <w:pStyle w:val="Heading1"/>
        <w:pageBreakBefore/>
      </w:pPr>
      <w:r>
        <w:rPr>
          <w:rFonts w:ascii="Calibri" w:cs="Calibri" w:eastAsia="微软雅黑" w:hAnsi="Calibri"/>
          <w:b w:val="false"/>
          <w:bCs w:val="false"/>
        </w:rPr>
        <w:t xml:space="preserve">10. 后续规划（Roadmap 建议）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8"/>
        <w:gridCol w:w="2235"/>
        <w:gridCol w:w="5393"/>
      </w:tblGrid>
      <w:tr>
        <w:trPr>
          <w:tblHeader/>
        </w:trPr>
        <w:tc>
          <w:tcPr>
            <w:tcW w:type="dxa" w:w="13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优先级</w:t>
            </w:r>
          </w:p>
        </w:tc>
        <w:tc>
          <w:tcPr>
            <w:tcW w:type="dxa" w:w="223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建议项</w:t>
            </w:r>
          </w:p>
        </w:tc>
        <w:tc>
          <w:tcPr>
            <w:tcW w:type="dxa" w:w="539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E4ED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1F3864"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13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223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认证到期自动化</w:t>
            </w:r>
          </w:p>
        </w:tc>
        <w:tc>
          <w:tcPr>
            <w:tcW w:type="dxa" w:w="539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定时任务按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cert_expire_date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自动将绿区转红区/黄区，并可配置提前 30/60/90 天预警</w:t>
            </w:r>
          </w:p>
        </w:tc>
      </w:tr>
      <w:tr>
        <w:trPr>
          <w:tblHeader w:val="false"/>
        </w:trPr>
        <w:tc>
          <w:tcPr>
            <w:tcW w:type="dxa" w:w="13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P0</w:t>
            </w:r>
          </w:p>
        </w:tc>
        <w:tc>
          <w:tcPr>
            <w:tcW w:type="dxa" w:w="223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选型查重入口迁移</w:t>
            </w:r>
          </w:p>
        </w:tc>
        <w:tc>
          <w:tcPr>
            <w:tcW w:type="dxa" w:w="539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在 React 版「选型」页补齐查重表单与结果展示，替换旧版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select.html</w:t>
            </w:r>
          </w:p>
        </w:tc>
      </w:tr>
      <w:tr>
        <w:trPr>
          <w:tblHeader w:val="false"/>
        </w:trPr>
        <w:tc>
          <w:tcPr>
            <w:tcW w:type="dxa" w:w="13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3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消息提醒</w:t>
            </w:r>
          </w:p>
        </w:tc>
        <w:tc>
          <w:tcPr>
            <w:tcW w:type="dxa" w:w="539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临期物料、未闭环稽核问题按周汇总邮件/企业微信推送给责任人</w:t>
            </w:r>
          </w:p>
        </w:tc>
      </w:tr>
      <w:tr>
        <w:trPr>
          <w:tblHeader w:val="false"/>
        </w:trPr>
        <w:tc>
          <w:tcPr>
            <w:tcW w:type="dxa" w:w="13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3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稽核问题结构化</w:t>
            </w:r>
          </w:p>
        </w:tc>
        <w:tc>
          <w:tcPr>
            <w:tcW w:type="dxa" w:w="539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稽核记录拆分为「主记录 + 问题明细行」，问题数不再靠文本估算</w:t>
            </w:r>
          </w:p>
        </w:tc>
      </w:tr>
      <w:tr>
        <w:trPr>
          <w:tblHeader w:val="false"/>
        </w:trPr>
        <w:tc>
          <w:tcPr>
            <w:tcW w:type="dxa" w:w="13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3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密码哈希与登录安全</w:t>
            </w:r>
          </w:p>
        </w:tc>
        <w:tc>
          <w:tcPr>
            <w:tcW w:type="dxa" w:w="539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密码改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bcrypt/scrypt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存储，加入登录失败锁定、密码复杂度校验</w:t>
            </w:r>
          </w:p>
        </w:tc>
      </w:tr>
      <w:tr>
        <w:trPr>
          <w:tblHeader w:val="false"/>
        </w:trPr>
        <w:tc>
          <w:tcPr>
            <w:tcW w:type="dxa" w:w="13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P1</w:t>
            </w:r>
          </w:p>
        </w:tc>
        <w:tc>
          <w:tcPr>
            <w:tcW w:type="dxa" w:w="223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操作审计日志</w:t>
            </w:r>
          </w:p>
        </w:tc>
        <w:tc>
          <w:tcPr>
            <w:tcW w:type="dxa" w:w="539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记录关键操作（新增/删除/权限变更）的操作人、时间、前后值</w:t>
            </w:r>
          </w:p>
        </w:tc>
      </w:tr>
      <w:tr>
        <w:trPr>
          <w:tblHeader w:val="false"/>
        </w:trPr>
        <w:tc>
          <w:tcPr>
            <w:tcW w:type="dxa" w:w="13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3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供应商列表分页</w:t>
            </w:r>
          </w:p>
        </w:tc>
        <w:tc>
          <w:tcPr>
            <w:tcW w:type="dxa" w:w="539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打破 500 条上限，改为服务端分页 + 排序</w:t>
            </w:r>
          </w:p>
        </w:tc>
      </w:tr>
      <w:tr>
        <w:trPr>
          <w:tblHeader w:val="false"/>
        </w:trPr>
        <w:tc>
          <w:tcPr>
            <w:tcW w:type="dxa" w:w="13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3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数据看板首页</w:t>
            </w:r>
          </w:p>
        </w:tc>
        <w:tc>
          <w:tcPr>
            <w:tcW w:type="dxa" w:w="539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新增聚合型首页看板（认证三区、稽核趋势、供应商评级、项目风险一体化）</w:t>
            </w:r>
          </w:p>
        </w:tc>
      </w:tr>
      <w:tr>
        <w:trPr>
          <w:tblHeader w:val="false"/>
        </w:trPr>
        <w:tc>
          <w:tcPr>
            <w:tcW w:type="dxa" w:w="13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P2</w:t>
            </w:r>
          </w:p>
        </w:tc>
        <w:tc>
          <w:tcPr>
            <w:tcW w:type="dxa" w:w="223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旧版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public/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下线</w:t>
            </w:r>
          </w:p>
        </w:tc>
        <w:tc>
          <w:tcPr>
            <w:tcW w:type="dxa" w:w="539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完成 SPA 迁移后移除多页站点，统一 </w:t>
            </w:r>
            <w:r>
              <w:rPr>
                <w:rFonts w:ascii="Consolas" w:cs="Consolas" w:eastAsia="微软雅黑" w:hAnsi="Consolas"/>
                <w:b w:val="false"/>
                <w:bCs w:val="false"/>
                <w:color w:val="A8300F"/>
                <w:sz w:val="19"/>
                <w:szCs w:val="19"/>
                <w:shd w:fill="F5F7F9" w:val="clear"/>
              </w:rPr>
              <w:t xml:space="preserve">/app</w:t>
            </w: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 入口</w:t>
            </w:r>
          </w:p>
        </w:tc>
      </w:tr>
      <w:tr>
        <w:trPr>
          <w:tblHeader w:val="false"/>
        </w:trPr>
        <w:tc>
          <w:tcPr>
            <w:tcW w:type="dxa" w:w="1398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P3</w:t>
            </w:r>
          </w:p>
        </w:tc>
        <w:tc>
          <w:tcPr>
            <w:tcW w:type="dxa" w:w="2235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外部系统集成</w:t>
            </w:r>
          </w:p>
        </w:tc>
        <w:tc>
          <w:tcPr>
            <w:tcW w:type="dxa" w:w="5393"/>
            <w:tcBorders>
              <w:top w:val="single" w:color="C6CDD5" w:sz="4"/>
              <w:left w:val="single" w:color="C6CDD5" w:sz="4"/>
              <w:bottom w:val="single" w:color="C6CDD5" w:sz="4"/>
              <w:right w:val="single" w:color="C6CDD5" w:sz="4"/>
            </w:tcBorders>
            <w:shd w:fill="FAFBFC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Calibri" w:cs="Calibri" w:eastAsia="微软雅黑" w:hAnsi="Calibri"/>
                <w:b w:val="false"/>
                <w:bCs w:val="false"/>
                <w:color w:val="000000"/>
                <w:sz w:val="19"/>
                <w:szCs w:val="19"/>
              </w:rPr>
              <w:t xml:space="preserve">与 ERP/SRM 打通供应商主数据与物料主数据</w:t>
            </w:r>
          </w:p>
        </w:tc>
      </w:tr>
    </w:tbl>
    <w:p>
      <w:pPr>
        <w:spacing w:after="120" w:before="20"/>
      </w:pPr>
    </w:p>
    <w:p>
      <w:pPr>
        <w:pBdr>
          <w:bottom w:val="single" w:color="D6DCE4" w:sz="6" w:space="1"/>
        </w:pBdr>
        <w:spacing w:after="100" w:before="100"/>
      </w:pPr>
    </w:p>
    <w:p>
      <w:pPr>
        <w:pStyle w:val="Heading1"/>
        <w:pageBreakBefore/>
      </w:pPr>
      <w:r>
        <w:rPr>
          <w:rFonts w:ascii="Calibri" w:cs="Calibri" w:eastAsia="微软雅黑" w:hAnsi="Calibri"/>
          <w:b w:val="false"/>
          <w:bCs w:val="false"/>
        </w:rPr>
        <w:t xml:space="preserve">11. 验收标准（V1.0 基线）</w:t>
      </w:r>
    </w:p>
    <w:p>
      <w:pPr>
        <w:pStyle w:val="ListParagraph"/>
        <w:numPr>
          <w:ilvl w:val="0"/>
          <w:numId w:val="7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使用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admin / admin123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可登录，登录后默认进入物料汇总表；未登录访问任意页面跳转登录页并在登录后回到原页面。</w:t>
      </w:r>
    </w:p>
    <w:p>
      <w:pPr>
        <w:pStyle w:val="ListParagraph"/>
        <w:numPr>
          <w:ilvl w:val="0"/>
          <w:numId w:val="7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新建只读角色用户：仅可见 7 个业务菜单，页面上无任何新增/编辑/删除/导入/导出按钮，直接调用写接口返回 403。</w:t>
      </w:r>
    </w:p>
    <w:p>
      <w:pPr>
        <w:pStyle w:val="ListParagraph"/>
        <w:numPr>
          <w:ilvl w:val="0"/>
          <w:numId w:val="7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给用户授予品类范围 A：其在物料、BOM、预研、稽核、QCP 页面及对应导出、看板中，只能看到品类为 A（或品类为空）的数据。</w:t>
      </w:r>
    </w:p>
    <w:p>
      <w:pPr>
        <w:pStyle w:val="ListParagraph"/>
        <w:numPr>
          <w:ilvl w:val="0"/>
          <w:numId w:val="7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新增物料不填编码，系统生成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M-&lt;当年&gt;-0001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形式的唯一编码；重复编码导入返回「编码已存在」并计入错误明细。</w:t>
      </w:r>
    </w:p>
    <w:p>
      <w:pPr>
        <w:pStyle w:val="ListParagraph"/>
        <w:numPr>
          <w:ilvl w:val="0"/>
          <w:numId w:val="7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物料列表可按关键词、分类、认证状态、供应商筛选，分页每页 20 条；导出的 Excel 内容与当前筛选结果一致。</w:t>
      </w:r>
    </w:p>
    <w:p>
      <w:pPr>
        <w:pStyle w:val="ListParagraph"/>
        <w:numPr>
          <w:ilvl w:val="0"/>
          <w:numId w:val="7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在研项目与预研专项数据互不串页；看板可按「预研专项 / 在研项目 / 全部」切换统计范围，且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issueTotal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等于风险点行数、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projectTotal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等于去重项目数。</w:t>
      </w:r>
    </w:p>
    <w:p>
      <w:pPr>
        <w:pStyle w:val="ListParagraph"/>
        <w:numPr>
          <w:ilvl w:val="0"/>
          <w:numId w:val="7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稽核看板可按年度/月度切换问题趋势，曲线对象为问题总量 Top6 供应商，月度曲线连续且空月计 0。</w:t>
      </w:r>
    </w:p>
    <w:p>
      <w:pPr>
        <w:pStyle w:val="ListParagraph"/>
        <w:numPr>
          <w:ilvl w:val="0"/>
          <w:numId w:val="7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上传一个 PDF 规格书到 BOM 信息页：能解析出文本并返回提取字段（未配置 AI 密钥时走规则提取），确认后才落库，来源显示「文档导入」。</w:t>
      </w:r>
    </w:p>
    <w:p>
      <w:pPr>
        <w:pStyle w:val="ListParagraph"/>
        <w:numPr>
          <w:ilvl w:val="0"/>
          <w:numId w:val="7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上传 Excel 到 BOM 信息页：能自动识别含说明行的表头，预览确认后批量入库；内容完全重复的行被跳过并计入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skipped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，库中已有数据不被覆盖或删除。</w:t>
      </w:r>
    </w:p>
    <w:p>
      <w:pPr>
        <w:pStyle w:val="ListParagraph"/>
        <w:numPr>
          <w:ilvl w:val="0"/>
          <w:numId w:val="7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供应商信息新增/删除后，各页面「供应商下拉」自动同步；品类管理新增中类后，各页面「品类下拉」自动同步。</w:t>
      </w:r>
    </w:p>
    <w:p>
      <w:pPr>
        <w:pStyle w:val="ListParagraph"/>
        <w:numPr>
          <w:ilvl w:val="0"/>
          <w:numId w:val="7"/>
        </w:numPr>
        <w:spacing w:after="20" w:before="20" w:line="288"/>
      </w:pP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修改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db.js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新增一个物料字段并重启：老库启动自动补列，接口可读写，前端可见（四处同步验证通过）。</w:t>
      </w:r>
    </w:p>
    <w:p>
      <w:pPr>
        <w:pStyle w:val="ListParagraph"/>
        <w:numPr>
          <w:ilvl w:val="0"/>
          <w:numId w:val="7"/>
        </w:numPr>
        <w:spacing w:after="20" w:before="20" w:line="288"/>
      </w:pP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node --check server.js db.js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通过；单机模式下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（旧版页面）与 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/app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（SPA）均可访问，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/api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接口正常，</w:t>
      </w:r>
      <w:r>
        <w:rPr>
          <w:rFonts w:ascii="Consolas" w:cs="Consolas" w:eastAsia="微软雅黑" w:hAnsi="Consolas"/>
          <w:b w:val="false"/>
          <w:bCs w:val="false"/>
          <w:color w:val="A8300F"/>
          <w:sz w:val="21"/>
          <w:szCs w:val="21"/>
          <w:shd w:fill="F5F7F9" w:val="clear"/>
        </w:rPr>
        <w:t xml:space="preserve">/uploads</w:t>
      </w:r>
      <w:r>
        <w:rPr>
          <w:rFonts w:ascii="Calibri" w:cs="Calibri" w:eastAsia="微软雅黑" w:hAnsi="Calibri"/>
          <w:b w:val="false"/>
          <w:bCs w:val="false"/>
          <w:sz w:val="21"/>
          <w:szCs w:val="21"/>
        </w:rPr>
        <w:t xml:space="preserve"> 附件可访问。</w:t>
      </w:r>
    </w:p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CE4" w:sz="4" w:space="4"/>
      </w:pBdr>
      <w:tabs>
        <w:tab w:val="right" w:pos="9026"/>
      </w:tabs>
    </w:pPr>
    <w:r>
      <w:rPr>
        <w:rFonts w:ascii="Calibri" w:cs="Calibri" w:eastAsia="微软雅黑" w:hAnsi="Calibri"/>
        <w:color w:val="808080"/>
        <w:sz w:val="17"/>
        <w:szCs w:val="17"/>
      </w:rPr>
      <w:t xml:space="preserve">内部资料 · 请勿外传</w:t>
    </w:r>
    <w:r>
      <w:rPr>
        <w:rFonts w:ascii="Calibri" w:cs="Calibri" w:eastAsia="微软雅黑" w:hAnsi="Calibri"/>
        <w:color w:val="808080"/>
        <w:sz w:val="17"/>
        <w:szCs w:val="17"/>
      </w:rPr>
      <w:t xml:space="preserve">	第 </w:t>
    </w:r>
    <w:r>
      <w:rPr>
        <w:rFonts w:ascii="Calibri" w:cs="Calibri" w:eastAsia="微软雅黑" w:hAnsi="Calibri"/>
        <w:color w:val="8080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微软雅黑" w:hAnsi="Calibri"/>
        <w:color w:val="808080"/>
        <w:sz w:val="17"/>
        <w:szCs w:val="17"/>
      </w:rPr>
      <w:t xml:space="preserve"> 页 / 共 </w:t>
    </w:r>
    <w:r>
      <w:rPr>
        <w:rFonts w:ascii="Calibri" w:cs="Calibri" w:eastAsia="微软雅黑" w:hAnsi="Calibri"/>
        <w:color w:val="808080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Calibri" w:cs="Calibri" w:eastAsia="微软雅黑" w:hAnsi="Calibri"/>
        <w:color w:val="808080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CE4" w:sz="4" w:space="4"/>
      </w:pBdr>
      <w:jc w:val="right"/>
    </w:pPr>
    <w:r>
      <w:rPr>
        <w:rFonts w:ascii="Calibri" w:cs="Calibri" w:eastAsia="微软雅黑" w:hAnsi="Calibri"/>
        <w:color w:val="808080"/>
        <w:sz w:val="17"/>
        <w:szCs w:val="17"/>
      </w:rPr>
      <w:t xml:space="preserve">物料开发认证管理系统 · 产品需求文档（PRD）V1.0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50"/>
      </w:pPr>
    </w:lvl>
    <w:lvl w:ilvl="1" w15:tentative="1">
      <w:start w:val="1"/>
      <w:numFmt w:val="bullet"/>
      <w:lvlText w:val="◦"/>
      <w:lvlJc w:val="left"/>
      <w:pPr>
        <w:ind w:left="960" w:hanging="2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  <w:lvl w:ilvl="1" w15:tentative="1">
      <w:start w:val="1"/>
      <w:numFmt w:val="lowerLetter"/>
      <w:lvlText w:val="%2)"/>
      <w:lvlJc w:val="left"/>
      <w:pPr>
        <w:ind w:left="960" w:hanging="25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  <w:lvl w:ilvl="1" w15:tentative="1">
      <w:start w:val="1"/>
      <w:numFmt w:val="lowerLetter"/>
      <w:lvlText w:val="%2)"/>
      <w:lvlJc w:val="left"/>
      <w:pPr>
        <w:ind w:left="960" w:hanging="25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  <w:lvl w:ilvl="1" w15:tentative="1">
      <w:start w:val="1"/>
      <w:numFmt w:val="lowerLetter"/>
      <w:lvlText w:val="%2)"/>
      <w:lvlJc w:val="left"/>
      <w:pPr>
        <w:ind w:left="960" w:hanging="25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  <w:lvl w:ilvl="1" w15:tentative="1">
      <w:start w:val="1"/>
      <w:numFmt w:val="lowerLetter"/>
      <w:lvlText w:val="%2)"/>
      <w:lvlJc w:val="left"/>
      <w:pPr>
        <w:ind w:left="960" w:hanging="25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50"/>
      </w:pPr>
    </w:lvl>
    <w:lvl w:ilvl="1" w15:tentative="1">
      <w:start w:val="1"/>
      <w:numFmt w:val="lowerLetter"/>
      <w:lvlText w:val="%2)"/>
      <w:lvlJc w:val="left"/>
      <w:pPr>
        <w:ind w:left="960" w:hanging="2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微软雅黑" w:hAnsi="Calibri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  <w:outlineLvl w:val="0"/>
    </w:pPr>
    <w:rPr>
      <w:rFonts w:ascii="Calibri" w:cs="Calibri" w:eastAsia="微软雅黑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微软雅黑" w:hAnsi="Calibri"/>
      <w:b/>
      <w:bCs/>
      <w:color w:val="2E5C8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Calibri" w:cs="Calibri" w:eastAsia="微软雅黑" w:hAnsi="Calibri"/>
      <w:b/>
      <w:b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物料开发认证管理系统 产品需求文档（PRD）</dc:title>
  <dc:creator>物料认证系统项目组</dc:creator>
  <dc:description>PRD V1.0 通用版基线</dc:description>
  <cp:lastModifiedBy>Un-named</cp:lastModifiedBy>
  <cp:revision>1</cp:revision>
  <dcterms:created xsi:type="dcterms:W3CDTF">2026-09-11T06:32:59.755Z</dcterms:created>
  <dcterms:modified xsi:type="dcterms:W3CDTF">2026-09-11T06:32:59.757Z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