
<file path=[Content_Types].xml><?xml version="1.0" encoding="utf-8"?>
<Types xmlns="http://schemas.openxmlformats.org/package/2006/content-types">
  <Override PartName="/word/document.xml" ContentType="application/vnd.openxmlformats-officedocument.wordprocessingml.document.main+xml"/>
  <Override PartName="/docProps/core.xml" ContentType="application/vnd.openxmlformats-package.core-properties+xml"/>
  <Override PartName="/word/stylesWithEffects.xml" ContentType="application/vnd.ms-word.stylesWithEffect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tbl>
      <w:tblPr>
        <w:tblStyle w:val="TableGrid"/>
        <w:tblW w:w="8222" w:type="dxa"/>
        <w:tblLayout w:type="fixed"/>
        <w:tblLook w:val="00BF"/>
      </w:tblPr>
      <w:tblGrid>
        <w:gridCol w:w="8222"/>
      </w:tblGrid>
      <w:tr w:rsidR="00E3249F" w:rsidTr="00233C0B">
        <w:tc>
          <w:tcPr>
            <w:tcW w:w="10206" w:type="dxa"/>
            <w:tcBorders>
              <w:top w:val="nil"/>
              <w:left w:val="nil"/>
              <w:bottom w:val="nil"/>
              <w:right w:val="nil"/>
            </w:tcBorders>
          </w:tcPr>
          <w:p w:rsidR="00E3249F" w:rsidRPr="00A70D95" w:rsidRDefault="00E3249F" w:rsidP="00233C0B">
            <w:pPr>
              <w:pStyle w:val="PlainText"/>
              <w:ind w:left="459" w:right="318"/>
              <w:outlineLvl w:val="0"/>
              <w:rPr>
                <w:rFonts w:ascii="Lucida Grande" w:hAnsi="Lucida Grande"/>
                <w:sz w:val="18"/>
              </w:rPr>
            </w:pPr>
            <w:bookmarkStart w:id="0" w:name="_GoBack" w:colFirst="0" w:colLast="0"/>
            <w:r w:rsidRPr="00A70D95">
              <w:rPr>
                <w:rFonts w:ascii="Lucida Grande" w:hAnsi="Lucida Grande"/>
                <w:sz w:val="18"/>
                <w:szCs w:val="18"/>
              </w:rPr>
              <w:t xml:space="preserve">Go back to </w:t>
            </w:r>
            <w:hyperlink r:id="rId4" w:history="1">
              <w:r w:rsidRPr="00A70D95">
                <w:rPr>
                  <w:rStyle w:val="Hyperlink"/>
                  <w:rFonts w:ascii="Lucida Grande" w:hAnsi="Lucida Grande"/>
                  <w:sz w:val="18"/>
                  <w:szCs w:val="18"/>
                </w:rPr>
                <w:t>ObjectJ Examples</w:t>
              </w:r>
            </w:hyperlink>
          </w:p>
          <w:p w:rsidR="00E3249F" w:rsidRDefault="00E3249F" w:rsidP="00233C0B">
            <w:pPr>
              <w:ind w:left="459" w:right="318"/>
              <w:rPr>
                <w:sz w:val="32"/>
                <w:szCs w:val="32"/>
              </w:rPr>
            </w:pPr>
          </w:p>
          <w:p w:rsidR="00E3249F" w:rsidRPr="00A335CB" w:rsidRDefault="00E3249F" w:rsidP="00233C0B">
            <w:pPr>
              <w:ind w:left="459" w:right="318"/>
              <w:rPr>
                <w:sz w:val="32"/>
                <w:szCs w:val="32"/>
              </w:rPr>
            </w:pPr>
            <w:r w:rsidRPr="00A335CB">
              <w:rPr>
                <w:sz w:val="32"/>
                <w:szCs w:val="32"/>
              </w:rPr>
              <w:t>Spore</w:t>
            </w:r>
            <w:r>
              <w:rPr>
                <w:sz w:val="32"/>
                <w:szCs w:val="32"/>
              </w:rPr>
              <w:t>Tracker</w:t>
            </w:r>
          </w:p>
          <w:p w:rsidR="00E3249F" w:rsidRDefault="00E3249F" w:rsidP="00233C0B">
            <w:pPr>
              <w:ind w:left="459" w:right="318"/>
            </w:pPr>
          </w:p>
          <w:p w:rsidR="00E3249F" w:rsidRDefault="00E3249F" w:rsidP="00233C0B">
            <w:pPr>
              <w:ind w:left="459" w:right="318"/>
            </w:pPr>
            <w:r>
              <w:t>Spore Germination and Growth Analysis</w:t>
            </w:r>
          </w:p>
          <w:p w:rsidR="00E3249F" w:rsidRDefault="00E3249F" w:rsidP="00233C0B">
            <w:pPr>
              <w:ind w:left="459" w:right="318"/>
              <w:rPr>
                <w:sz w:val="18"/>
                <w:szCs w:val="18"/>
              </w:rPr>
            </w:pPr>
            <w:r w:rsidRPr="00FE7B66">
              <w:rPr>
                <w:sz w:val="18"/>
                <w:szCs w:val="18"/>
              </w:rPr>
              <w:t xml:space="preserve">Norbert Vischer </w:t>
            </w:r>
            <w:r>
              <w:rPr>
                <w:sz w:val="18"/>
                <w:szCs w:val="18"/>
              </w:rPr>
              <w:t xml:space="preserve">  </w:t>
            </w:r>
            <w:r w:rsidRPr="00FE7B66">
              <w:rPr>
                <w:sz w:val="18"/>
                <w:szCs w:val="18"/>
              </w:rPr>
              <w:t>v</w:t>
            </w:r>
            <w:r>
              <w:rPr>
                <w:sz w:val="18"/>
                <w:szCs w:val="18"/>
              </w:rPr>
              <w:t>ischer at</w:t>
            </w:r>
            <w:r w:rsidRPr="00FE7B66">
              <w:rPr>
                <w:sz w:val="18"/>
                <w:szCs w:val="18"/>
              </w:rPr>
              <w:t xml:space="preserve"> </w:t>
            </w:r>
            <w:r>
              <w:rPr>
                <w:sz w:val="18"/>
                <w:szCs w:val="18"/>
              </w:rPr>
              <w:t>science.</w:t>
            </w:r>
            <w:r w:rsidRPr="00FE7B66">
              <w:rPr>
                <w:sz w:val="18"/>
                <w:szCs w:val="18"/>
              </w:rPr>
              <w:t>uva.nl</w:t>
            </w:r>
            <w:r>
              <w:rPr>
                <w:sz w:val="18"/>
                <w:szCs w:val="18"/>
              </w:rPr>
              <w:t xml:space="preserve">   14-Nov</w:t>
            </w:r>
            <w:r w:rsidRPr="00FE7B66">
              <w:rPr>
                <w:sz w:val="18"/>
                <w:szCs w:val="18"/>
              </w:rPr>
              <w:t>-2012</w:t>
            </w:r>
          </w:p>
          <w:p w:rsidR="00E3249F" w:rsidRDefault="00E3249F" w:rsidP="00233C0B">
            <w:pPr>
              <w:ind w:left="459" w:right="318"/>
              <w:rPr>
                <w:sz w:val="18"/>
                <w:szCs w:val="18"/>
              </w:rPr>
            </w:pPr>
            <w:r>
              <w:rPr>
                <w:sz w:val="18"/>
                <w:szCs w:val="18"/>
              </w:rPr>
              <w:t>University of Amsterdam</w:t>
            </w:r>
          </w:p>
          <w:p w:rsidR="00E3249F" w:rsidRPr="00FE7B66" w:rsidRDefault="00E3249F" w:rsidP="00233C0B">
            <w:pPr>
              <w:ind w:left="459" w:right="318"/>
              <w:rPr>
                <w:sz w:val="18"/>
                <w:szCs w:val="18"/>
              </w:rPr>
            </w:pPr>
          </w:p>
          <w:p w:rsidR="00E3249F" w:rsidRDefault="00FD3C18" w:rsidP="00233C0B">
            <w:pPr>
              <w:ind w:left="459" w:right="318"/>
            </w:pPr>
            <w:hyperlink r:id="rId5" w:history="1">
              <w:r w:rsidR="00E3249F" w:rsidRPr="00EB2845">
                <w:rPr>
                  <w:rStyle w:val="Hyperlink"/>
                  <w:rFonts w:hint="eastAsia"/>
                </w:rPr>
                <w:t>Download Demo Project</w:t>
              </w:r>
            </w:hyperlink>
          </w:p>
          <w:p w:rsidR="00E3249F" w:rsidRDefault="00E3249F" w:rsidP="00233C0B">
            <w:pPr>
              <w:ind w:left="459" w:right="318"/>
            </w:pPr>
          </w:p>
          <w:p w:rsidR="00E3249F" w:rsidRDefault="00FD3C18" w:rsidP="00233C0B">
            <w:pPr>
              <w:ind w:left="459" w:right="318"/>
            </w:pPr>
            <w:hyperlink r:id="rId6" w:history="1">
              <w:r w:rsidR="00E3249F">
                <w:rPr>
                  <w:rStyle w:val="Hyperlink"/>
                  <w:sz w:val="20"/>
                </w:rPr>
                <w:t>Show Movie  (4 min )</w:t>
              </w:r>
            </w:hyperlink>
          </w:p>
          <w:p w:rsidR="00E3249F" w:rsidRDefault="00E3249F" w:rsidP="00233C0B">
            <w:pPr>
              <w:ind w:left="459" w:right="318"/>
            </w:pPr>
          </w:p>
          <w:p w:rsidR="00E3249F" w:rsidRDefault="00E3249F" w:rsidP="00233C0B">
            <w:pPr>
              <w:ind w:left="459" w:right="318"/>
            </w:pPr>
          </w:p>
          <w:p w:rsidR="00E3249F" w:rsidRPr="001E58FB" w:rsidRDefault="001E58FB" w:rsidP="00233C0B">
            <w:pPr>
              <w:ind w:left="459" w:right="34"/>
              <w:rPr>
                <w:noProof/>
                <w:lang w:eastAsia="en-US"/>
              </w:rPr>
            </w:pPr>
            <w:r w:rsidRPr="001E58FB">
              <w:rPr>
                <w:noProof/>
                <w:lang w:eastAsia="en-US"/>
              </w:rPr>
              <w:drawing>
                <wp:inline distT="0" distB="0" distL="0" distR="0">
                  <wp:extent cx="4682702" cy="3229603"/>
                  <wp:effectExtent l="2540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ve="http://schemas.openxmlformats.org/markup-compatibility/2006" val="0"/>
                              </a:ext>
                            </a:extLst>
                          </a:blip>
                          <a:srcRect/>
                          <a:stretch>
                            <a:fillRect/>
                          </a:stretch>
                        </pic:blipFill>
                        <pic:spPr bwMode="auto">
                          <a:xfrm>
                            <a:off x="0" y="0"/>
                            <a:ext cx="4723207" cy="3257538"/>
                          </a:xfrm>
                          <a:prstGeom prst="rect">
                            <a:avLst/>
                          </a:prstGeom>
                          <a:noFill/>
                          <a:ln>
                            <a:noFill/>
                          </a:ln>
                        </pic:spPr>
                      </pic:pic>
                    </a:graphicData>
                  </a:graphic>
                </wp:inline>
              </w:drawing>
            </w:r>
          </w:p>
          <w:p w:rsidR="00E3249F" w:rsidRDefault="00E3249F" w:rsidP="00233C0B">
            <w:pPr>
              <w:ind w:left="459" w:right="318"/>
            </w:pPr>
          </w:p>
          <w:p w:rsidR="00E3249F" w:rsidRDefault="00E3249F" w:rsidP="00233C0B">
            <w:pPr>
              <w:ind w:left="459" w:right="318"/>
            </w:pPr>
            <w:r>
              <w:t>Fig 1: Dual plot versus time. Upper plot shows bright-to-dark transition with magenta circles at 90% and 10% of the drop range. Lower plot shows growth, whose evaluation window was set manually to 211 .. 305 min, and the light green band shows the result of linear regression curve fitting.</w:t>
            </w:r>
          </w:p>
          <w:p w:rsidR="00E3249F" w:rsidRDefault="00E3249F" w:rsidP="00233C0B">
            <w:pPr>
              <w:ind w:left="459" w:right="318"/>
            </w:pPr>
          </w:p>
          <w:p w:rsidR="00E3249F" w:rsidRDefault="00E3249F" w:rsidP="00233C0B">
            <w:pPr>
              <w:ind w:left="459" w:right="318"/>
            </w:pPr>
            <w:r>
              <w:t>This project analyses movies of spores that germinate and grow out to colonies.</w:t>
            </w:r>
          </w:p>
          <w:p w:rsidR="00E3249F" w:rsidRDefault="00E3249F" w:rsidP="00233C0B">
            <w:pPr>
              <w:ind w:left="459" w:right="318"/>
            </w:pPr>
            <w:r>
              <w:rPr>
                <w:color w:val="943634" w:themeColor="accent2" w:themeShade="BF"/>
              </w:rPr>
              <w:t>Features:</w:t>
            </w:r>
          </w:p>
          <w:p w:rsidR="00E3249F" w:rsidRDefault="00E3249F" w:rsidP="00233C0B">
            <w:pPr>
              <w:ind w:left="459" w:right="318"/>
            </w:pPr>
            <w:r>
              <w:t>- Dual plots for germination and growth</w:t>
            </w:r>
          </w:p>
          <w:p w:rsidR="00E3249F" w:rsidRDefault="00E3249F" w:rsidP="00233C0B">
            <w:pPr>
              <w:ind w:left="459" w:right="318"/>
            </w:pPr>
            <w:r>
              <w:t>- Collective analysis for spores shown on different movies</w:t>
            </w:r>
          </w:p>
          <w:p w:rsidR="00E3249F" w:rsidRDefault="00E3249F" w:rsidP="00233C0B">
            <w:pPr>
              <w:ind w:left="459" w:right="318"/>
            </w:pPr>
            <w:r>
              <w:t>- Plot can be used as navigation panel for playing back "interesting" parts</w:t>
            </w:r>
          </w:p>
          <w:p w:rsidR="00E3249F" w:rsidRDefault="00E3249F" w:rsidP="00233C0B">
            <w:pPr>
              <w:ind w:left="459" w:right="318"/>
            </w:pPr>
            <w:r>
              <w:t>- Manual timepoints can be set as "signs" (burst, evaluation window for growth).</w:t>
            </w:r>
          </w:p>
          <w:p w:rsidR="00E3249F" w:rsidRDefault="00E3249F" w:rsidP="00233C0B">
            <w:pPr>
              <w:ind w:left="459" w:right="318"/>
            </w:pPr>
            <w:r>
              <w:t>- Linked results include germination time, drop time, doubling time after first transition)</w:t>
            </w:r>
          </w:p>
          <w:p w:rsidR="00E3249F" w:rsidRDefault="00E3249F" w:rsidP="00233C0B">
            <w:pPr>
              <w:ind w:left="459" w:right="318"/>
            </w:pPr>
          </w:p>
          <w:p w:rsidR="00E3249F" w:rsidRDefault="00E3249F" w:rsidP="00233C0B">
            <w:pPr>
              <w:ind w:left="459" w:right="318"/>
            </w:pPr>
          </w:p>
          <w:p w:rsidR="00E3249F" w:rsidRDefault="00E3249F" w:rsidP="00233C0B">
            <w:pPr>
              <w:ind w:left="459" w:right="318"/>
            </w:pPr>
            <w:r w:rsidRPr="00C96652">
              <w:rPr>
                <w:color w:val="943634" w:themeColor="accent2" w:themeShade="BF"/>
              </w:rPr>
              <w:t>Installation</w:t>
            </w:r>
          </w:p>
          <w:p w:rsidR="00E3249F" w:rsidRDefault="00E3249F" w:rsidP="00233C0B">
            <w:pPr>
              <w:ind w:left="459" w:right="318"/>
            </w:pPr>
          </w:p>
          <w:p w:rsidR="00E3249F" w:rsidRDefault="00E3249F" w:rsidP="00233C0B">
            <w:pPr>
              <w:ind w:left="459" w:right="318"/>
            </w:pPr>
            <w:r>
              <w:t>- Make sure objectj_.jar is downloaded into ImageJ's plugin folder</w:t>
            </w:r>
          </w:p>
          <w:p w:rsidR="00E3249F" w:rsidRDefault="00E3249F" w:rsidP="00233C0B">
            <w:pPr>
              <w:ind w:left="459" w:right="318"/>
            </w:pPr>
            <w:r>
              <w:t xml:space="preserve">- Launch ImageJ </w:t>
            </w:r>
          </w:p>
          <w:p w:rsidR="00E3249F" w:rsidRDefault="00E3249F" w:rsidP="00233C0B">
            <w:pPr>
              <w:ind w:left="459" w:right="318"/>
            </w:pPr>
            <w:r>
              <w:t>- Open SporeTracker.ojj (name may have a version suffix)</w:t>
            </w:r>
          </w:p>
          <w:p w:rsidR="00E3249F" w:rsidRDefault="00E3249F" w:rsidP="00233C0B">
            <w:pPr>
              <w:ind w:left="459" w:right="318"/>
              <w:rPr>
                <w:noProof/>
                <w:lang w:eastAsia="en-US"/>
              </w:rPr>
            </w:pPr>
          </w:p>
          <w:p w:rsidR="00E3249F" w:rsidRDefault="00E3249F" w:rsidP="00233C0B">
            <w:pPr>
              <w:ind w:left="459" w:right="318"/>
            </w:pPr>
            <w:r>
              <w:rPr>
                <w:noProof/>
                <w:lang w:eastAsia="en-US"/>
              </w:rPr>
              <w:t>ObjectJ menu will become visible.</w:t>
            </w:r>
          </w:p>
          <w:p w:rsidR="00E3249F" w:rsidRDefault="00E3249F" w:rsidP="00233C0B">
            <w:pPr>
              <w:ind w:left="459" w:right="318"/>
            </w:pPr>
          </w:p>
          <w:p w:rsidR="00E3249F" w:rsidRDefault="00E3249F" w:rsidP="00233C0B">
            <w:pPr>
              <w:ind w:left="459" w:right="318"/>
            </w:pPr>
            <w:r>
              <w:t xml:space="preserve"> </w:t>
            </w:r>
          </w:p>
          <w:p w:rsidR="00E3249F" w:rsidRPr="003D7DE9" w:rsidRDefault="00E3249F" w:rsidP="00233C0B">
            <w:pPr>
              <w:ind w:left="459" w:right="318"/>
              <w:rPr>
                <w:i/>
                <w:sz w:val="32"/>
                <w:szCs w:val="32"/>
                <w:lang w:val="nl-NL"/>
              </w:rPr>
            </w:pPr>
            <w:r w:rsidRPr="003D7DE9">
              <w:rPr>
                <w:i/>
                <w:sz w:val="32"/>
                <w:szCs w:val="32"/>
                <w:lang w:val="nl-NL"/>
              </w:rPr>
              <w:t>ObjectJ menu macro  commands:</w:t>
            </w:r>
          </w:p>
          <w:p w:rsidR="00E3249F" w:rsidRPr="00457D1C" w:rsidRDefault="00E3249F" w:rsidP="00233C0B">
            <w:pPr>
              <w:ind w:left="459" w:right="318"/>
              <w:rPr>
                <w:lang w:val="nl-NL"/>
              </w:rPr>
            </w:pPr>
          </w:p>
          <w:p w:rsidR="00E3249F" w:rsidRPr="00C96652" w:rsidRDefault="00E3249F" w:rsidP="00233C0B">
            <w:pPr>
              <w:ind w:left="459" w:right="318"/>
              <w:rPr>
                <w:color w:val="943634" w:themeColor="accent2" w:themeShade="BF"/>
              </w:rPr>
            </w:pPr>
            <w:r w:rsidRPr="00C96652">
              <w:rPr>
                <w:rFonts w:hint="eastAsia"/>
                <w:color w:val="943634" w:themeColor="accent2" w:themeShade="BF"/>
              </w:rPr>
              <w:t>ObjectJ&gt; Mark Spores In First Slice</w:t>
            </w:r>
          </w:p>
          <w:p w:rsidR="00E3249F" w:rsidRPr="004448E3" w:rsidRDefault="00E3249F" w:rsidP="00233C0B">
            <w:pPr>
              <w:ind w:left="459" w:right="318"/>
              <w:rPr>
                <w:lang w:val="nl-NL"/>
              </w:rPr>
            </w:pPr>
            <w:r>
              <w:rPr>
                <w:rFonts w:hint="eastAsia"/>
              </w:rPr>
              <w:t>detects bright spots in first slice and sets blue "Bright" markers</w:t>
            </w:r>
            <w:r>
              <w:rPr>
                <w:lang w:val="nl-NL"/>
              </w:rPr>
              <w:t xml:space="preserve">. Before marking, you will be asked to adjust threshold so that all bright spots are thresholded (appearing as red particles). Then click </w:t>
            </w:r>
            <w:r>
              <w:rPr>
                <w:rFonts w:hint="eastAsia"/>
                <w:lang w:val="nl-NL"/>
              </w:rPr>
              <w:t>“</w:t>
            </w:r>
            <w:r>
              <w:rPr>
                <w:lang w:val="nl-NL"/>
              </w:rPr>
              <w:t>OK</w:t>
            </w:r>
            <w:r>
              <w:rPr>
                <w:rFonts w:hint="eastAsia"/>
                <w:lang w:val="nl-NL"/>
              </w:rPr>
              <w:t>”</w:t>
            </w:r>
            <w:r>
              <w:rPr>
                <w:lang w:val="nl-NL"/>
              </w:rPr>
              <w:t xml:space="preserve"> to continue.</w:t>
            </w:r>
          </w:p>
          <w:p w:rsidR="00E3249F" w:rsidRPr="00A335CB" w:rsidRDefault="00E3249F" w:rsidP="00233C0B">
            <w:pPr>
              <w:ind w:left="459" w:right="318"/>
              <w:rPr>
                <w:lang w:val="nl-NL"/>
              </w:rPr>
            </w:pPr>
          </w:p>
          <w:p w:rsidR="00E3249F" w:rsidRPr="00C96652" w:rsidRDefault="00E3249F" w:rsidP="00233C0B">
            <w:pPr>
              <w:ind w:left="459" w:right="318"/>
              <w:rPr>
                <w:color w:val="943634" w:themeColor="accent2" w:themeShade="BF"/>
              </w:rPr>
            </w:pPr>
            <w:r w:rsidRPr="00C96652">
              <w:rPr>
                <w:rFonts w:hint="eastAsia"/>
                <w:color w:val="943634" w:themeColor="accent2" w:themeShade="BF"/>
              </w:rPr>
              <w:t xml:space="preserve">ObjectJ&gt; Mark Dark Phase </w:t>
            </w:r>
          </w:p>
          <w:p w:rsidR="00E3249F" w:rsidRDefault="00E3249F" w:rsidP="00233C0B">
            <w:pPr>
              <w:ind w:left="459" w:right="318"/>
            </w:pPr>
            <w:r>
              <w:rPr>
                <w:lang w:val="nl-NL"/>
              </w:rPr>
              <w:t xml:space="preserve">- </w:t>
            </w:r>
            <w:r>
              <w:rPr>
                <w:rFonts w:hint="eastAsia"/>
              </w:rPr>
              <w:t>creates a circular area (rad = 2 px</w:t>
            </w:r>
            <w:r>
              <w:rPr>
                <w:lang w:val="nl-NL"/>
              </w:rPr>
              <w:t xml:space="preserve">) </w:t>
            </w:r>
            <w:r>
              <w:rPr>
                <w:rFonts w:hint="eastAsia"/>
              </w:rPr>
              <w:t>around each "Bright" marker</w:t>
            </w:r>
            <w:r>
              <w:rPr>
                <w:lang w:val="nl-NL"/>
              </w:rPr>
              <w:t xml:space="preserve"> and evaluates </w:t>
            </w:r>
            <w:r>
              <w:rPr>
                <w:rFonts w:hint="eastAsia"/>
              </w:rPr>
              <w:t xml:space="preserve"> "intenisty vs. time".</w:t>
            </w:r>
            <w:r>
              <w:rPr>
                <w:lang w:val="nl-NL"/>
              </w:rPr>
              <w:t xml:space="preserve"> </w:t>
            </w:r>
            <w:r>
              <w:rPr>
                <w:lang w:val="nl-NL"/>
              </w:rPr>
              <w:br/>
              <w:t>Then a</w:t>
            </w:r>
            <w:r>
              <w:rPr>
                <w:rFonts w:hint="eastAsia"/>
              </w:rPr>
              <w:t xml:space="preserve"> "Dark" object marker (color = green) </w:t>
            </w:r>
            <w:r>
              <w:rPr>
                <w:lang w:val="nl-NL"/>
              </w:rPr>
              <w:t>is</w:t>
            </w:r>
            <w:r>
              <w:rPr>
                <w:rFonts w:hint="eastAsia"/>
              </w:rPr>
              <w:t xml:space="preserve"> set at the </w:t>
            </w:r>
            <w:r>
              <w:rPr>
                <w:lang w:val="nl-NL"/>
              </w:rPr>
              <w:br/>
            </w:r>
            <w:r>
              <w:rPr>
                <w:rFonts w:hint="eastAsia"/>
              </w:rPr>
              <w:t xml:space="preserve">place where the gray value drops below </w:t>
            </w:r>
            <w:r>
              <w:rPr>
                <w:lang w:val="nl-NL"/>
              </w:rPr>
              <w:t xml:space="preserve">the set </w:t>
            </w:r>
            <w:r>
              <w:rPr>
                <w:rFonts w:hint="eastAsia"/>
              </w:rPr>
              <w:t>threshold.</w:t>
            </w:r>
            <w:r>
              <w:rPr>
                <w:lang w:val="nl-NL"/>
              </w:rPr>
              <w:br/>
            </w:r>
            <w:r>
              <w:rPr>
                <w:lang w:val="nl-NL"/>
              </w:rPr>
              <w:br/>
              <w:t>- The data of the</w:t>
            </w:r>
            <w:r>
              <w:rPr>
                <w:rFonts w:hint="eastAsia"/>
              </w:rPr>
              <w:t xml:space="preserve"> plots are stored in </w:t>
            </w:r>
            <w:r>
              <w:rPr>
                <w:lang w:val="nl-NL"/>
              </w:rPr>
              <w:t xml:space="preserve"> a map (</w:t>
            </w:r>
            <w:r>
              <w:rPr>
                <w:rFonts w:hint="eastAsia"/>
              </w:rPr>
              <w:t>"</w:t>
            </w:r>
            <w:r>
              <w:t>SporeTracker</w:t>
            </w:r>
            <w:r>
              <w:rPr>
                <w:rFonts w:hint="eastAsia"/>
              </w:rPr>
              <w:t xml:space="preserve"> -</w:t>
            </w:r>
            <w:r>
              <w:t>01</w:t>
            </w:r>
            <w:r>
              <w:rPr>
                <w:rFonts w:hint="eastAsia"/>
              </w:rPr>
              <w:t>-Map.tif")</w:t>
            </w:r>
            <w:r>
              <w:rPr>
                <w:lang w:val="nl-NL"/>
              </w:rPr>
              <w:t>, which is a 32-bit stack containing arrays of intensity (and later brightness) versus time.</w:t>
            </w:r>
            <w:r>
              <w:rPr>
                <w:lang w:val="nl-NL"/>
              </w:rPr>
              <w:br/>
            </w:r>
            <w:r>
              <w:rPr>
                <w:lang w:val="nl-NL"/>
              </w:rPr>
              <w:br/>
              <w:t xml:space="preserve">- The plots are displayed as a stack of plots called </w:t>
            </w:r>
            <w:r>
              <w:rPr>
                <w:rFonts w:hint="eastAsia"/>
              </w:rPr>
              <w:t>"</w:t>
            </w:r>
            <w:r w:rsidRPr="00351C2C">
              <w:t xml:space="preserve"> </w:t>
            </w:r>
            <w:r>
              <w:t>SporeTracker</w:t>
            </w:r>
            <w:r>
              <w:rPr>
                <w:rFonts w:hint="eastAsia"/>
              </w:rPr>
              <w:t xml:space="preserve"> -01-</w:t>
            </w:r>
            <w:r>
              <w:rPr>
                <w:lang w:val="nl-NL"/>
              </w:rPr>
              <w:t>Plots</w:t>
            </w:r>
            <w:r>
              <w:rPr>
                <w:rFonts w:hint="eastAsia"/>
              </w:rPr>
              <w:t>.tif"</w:t>
            </w:r>
            <w:r>
              <w:rPr>
                <w:lang w:val="nl-NL"/>
              </w:rPr>
              <w:t>.</w:t>
            </w:r>
            <w:r>
              <w:rPr>
                <w:lang w:val="nl-NL"/>
              </w:rPr>
              <w:br/>
              <w:t>- Two small magenta circles indicate the 90% to 10%  positions of the drop range</w:t>
            </w:r>
            <w:r>
              <w:rPr>
                <w:rFonts w:hint="eastAsia"/>
              </w:rPr>
              <w:t>.</w:t>
            </w:r>
          </w:p>
          <w:p w:rsidR="00E3249F" w:rsidRDefault="00E3249F" w:rsidP="00233C0B">
            <w:pPr>
              <w:ind w:left="459" w:right="318"/>
            </w:pPr>
            <w:r>
              <w:rPr>
                <w:rFonts w:hint="eastAsia"/>
              </w:rPr>
              <w:tab/>
            </w:r>
          </w:p>
          <w:p w:rsidR="00E3249F" w:rsidRDefault="00E3249F" w:rsidP="00233C0B">
            <w:pPr>
              <w:ind w:left="459" w:right="318"/>
            </w:pPr>
            <w:r w:rsidRPr="00A335CB">
              <w:rPr>
                <w:rFonts w:hint="eastAsia"/>
                <w:color w:val="943634" w:themeColor="accent2" w:themeShade="BF"/>
              </w:rPr>
              <w:t>ObjectJ&gt;Measure Growth</w:t>
            </w:r>
          </w:p>
          <w:p w:rsidR="00E3249F" w:rsidRPr="00A335CB" w:rsidRDefault="00E3249F" w:rsidP="00233C0B">
            <w:pPr>
              <w:ind w:left="459" w:right="318"/>
              <w:rPr>
                <w:lang w:val="nl-NL"/>
              </w:rPr>
            </w:pPr>
            <w:r>
              <w:rPr>
                <w:lang w:val="nl-NL"/>
              </w:rPr>
              <w:t xml:space="preserve">The program follows area from phase-dark until the end of movie, or until the growing colony touches the edge or another colony. </w:t>
            </w:r>
            <w:r>
              <w:rPr>
                <w:rFonts w:hint="eastAsia"/>
              </w:rPr>
              <w:t xml:space="preserve">Data </w:t>
            </w:r>
            <w:r>
              <w:rPr>
                <w:lang w:val="nl-NL"/>
              </w:rPr>
              <w:t xml:space="preserve"> are put </w:t>
            </w:r>
            <w:r>
              <w:rPr>
                <w:rFonts w:hint="eastAsia"/>
              </w:rPr>
              <w:t xml:space="preserve">into ch2 of </w:t>
            </w:r>
            <w:r>
              <w:t>SporeTracker</w:t>
            </w:r>
            <w:r>
              <w:rPr>
                <w:rFonts w:hint="eastAsia"/>
              </w:rPr>
              <w:t>-01-Map.tif, which is saved</w:t>
            </w:r>
            <w:r>
              <w:rPr>
                <w:lang w:val="nl-NL"/>
              </w:rPr>
              <w:t xml:space="preserve"> in the project folder</w:t>
            </w:r>
            <w:r>
              <w:rPr>
                <w:rFonts w:hint="eastAsia"/>
              </w:rPr>
              <w:t>.</w:t>
            </w:r>
            <w:r>
              <w:rPr>
                <w:lang w:val="nl-NL"/>
              </w:rPr>
              <w:t xml:space="preserve"> </w:t>
            </w:r>
            <w:r>
              <w:rPr>
                <w:lang w:val="nl-NL"/>
              </w:rPr>
              <w:br/>
              <w:t>The corresponding plot (log2(area) versus time</w:t>
            </w:r>
            <w:r>
              <w:rPr>
                <w:rFonts w:hint="eastAsia"/>
              </w:rPr>
              <w:t xml:space="preserve"> </w:t>
            </w:r>
            <w:r>
              <w:rPr>
                <w:lang w:val="nl-NL"/>
              </w:rPr>
              <w:t xml:space="preserve">) is updated in the lower panel of </w:t>
            </w:r>
            <w:r>
              <w:rPr>
                <w:rFonts w:hint="eastAsia"/>
              </w:rPr>
              <w:t>"</w:t>
            </w:r>
            <w:r>
              <w:t>SporeTracker-01</w:t>
            </w:r>
            <w:r>
              <w:rPr>
                <w:rFonts w:hint="eastAsia"/>
              </w:rPr>
              <w:t>-</w:t>
            </w:r>
            <w:r>
              <w:rPr>
                <w:lang w:val="nl-NL"/>
              </w:rPr>
              <w:t>Plots</w:t>
            </w:r>
            <w:r>
              <w:rPr>
                <w:rFonts w:hint="eastAsia"/>
              </w:rPr>
              <w:t>.tif"</w:t>
            </w:r>
            <w:r>
              <w:rPr>
                <w:lang w:val="nl-NL"/>
              </w:rPr>
              <w:t>.</w:t>
            </w:r>
            <w:r w:rsidRPr="00A335CB">
              <w:t xml:space="preserve"> </w:t>
            </w:r>
          </w:p>
          <w:p w:rsidR="00E3249F" w:rsidRDefault="00E3249F" w:rsidP="00233C0B">
            <w:pPr>
              <w:ind w:left="459" w:right="318"/>
            </w:pPr>
          </w:p>
          <w:p w:rsidR="00E3249F" w:rsidRPr="00C96652" w:rsidRDefault="00E3249F" w:rsidP="00233C0B">
            <w:pPr>
              <w:ind w:left="459" w:right="318"/>
              <w:rPr>
                <w:color w:val="943634" w:themeColor="accent2" w:themeShade="BF"/>
              </w:rPr>
            </w:pPr>
            <w:r w:rsidRPr="00C96652">
              <w:rPr>
                <w:rFonts w:hint="eastAsia"/>
                <w:color w:val="943634" w:themeColor="accent2" w:themeShade="BF"/>
              </w:rPr>
              <w:t xml:space="preserve">ObjectJ&gt; </w:t>
            </w:r>
            <w:r>
              <w:rPr>
                <w:color w:val="943634" w:themeColor="accent2" w:themeShade="BF"/>
              </w:rPr>
              <w:t>Show Collective Plots</w:t>
            </w:r>
          </w:p>
          <w:p w:rsidR="00E3249F" w:rsidRDefault="00E3249F" w:rsidP="00233C0B">
            <w:pPr>
              <w:ind w:left="459" w:right="318"/>
              <w:rPr>
                <w:lang w:val="nl-NL"/>
              </w:rPr>
            </w:pPr>
            <w:r>
              <w:t>Shows the plots stack, that is located in the project folder. I</w:t>
            </w:r>
            <w:r>
              <w:rPr>
                <w:rFonts w:hint="eastAsia"/>
              </w:rPr>
              <w:t>n this example</w:t>
            </w:r>
            <w:r>
              <w:t>,</w:t>
            </w:r>
            <w:r>
              <w:rPr>
                <w:rFonts w:hint="eastAsia"/>
              </w:rPr>
              <w:t xml:space="preserve"> </w:t>
            </w:r>
            <w:r>
              <w:t>its</w:t>
            </w:r>
            <w:r>
              <w:rPr>
                <w:rFonts w:hint="eastAsia"/>
              </w:rPr>
              <w:t xml:space="preserve"> name </w:t>
            </w:r>
            <w:r>
              <w:rPr>
                <w:lang w:val="nl-NL"/>
              </w:rPr>
              <w:t>is</w:t>
            </w:r>
            <w:r>
              <w:rPr>
                <w:rFonts w:hint="eastAsia"/>
              </w:rPr>
              <w:t xml:space="preserve"> </w:t>
            </w:r>
            <w:r>
              <w:t>"SporeTracker</w:t>
            </w:r>
            <w:r>
              <w:rPr>
                <w:rFonts w:hint="eastAsia"/>
              </w:rPr>
              <w:t>-01-</w:t>
            </w:r>
            <w:r>
              <w:t>Plots</w:t>
            </w:r>
            <w:r>
              <w:rPr>
                <w:rFonts w:hint="eastAsia"/>
              </w:rPr>
              <w:t>.tif</w:t>
            </w:r>
            <w:r>
              <w:t>"</w:t>
            </w:r>
            <w:r>
              <w:rPr>
                <w:rFonts w:hint="eastAsia"/>
              </w:rPr>
              <w:t>.</w:t>
            </w:r>
            <w:r w:rsidRPr="00A335CB">
              <w:rPr>
                <w:lang w:val="nl-NL"/>
              </w:rPr>
              <w:t xml:space="preserve"> </w:t>
            </w:r>
            <w:r>
              <w:rPr>
                <w:lang w:val="nl-NL"/>
              </w:rPr>
              <w:t xml:space="preserve">The stack contains as many plots as there are marked spores, plus one extra collective plot at the end. These plots can be used as navigation panels, so you can browse with the Naviagation tool </w:t>
            </w:r>
            <w:r>
              <w:t>"N" and follow the image of the corresponding cell/</w:t>
            </w:r>
            <w:r>
              <w:rPr>
                <w:lang w:val="nl-NL"/>
              </w:rPr>
              <w:t>colony in time.</w:t>
            </w:r>
          </w:p>
          <w:p w:rsidR="00E3249F" w:rsidRPr="00A335CB" w:rsidRDefault="00E3249F" w:rsidP="00233C0B">
            <w:pPr>
              <w:ind w:left="459" w:right="318"/>
              <w:rPr>
                <w:lang w:val="nl-NL"/>
              </w:rPr>
            </w:pPr>
          </w:p>
          <w:p w:rsidR="00E3249F" w:rsidRPr="00C96652" w:rsidRDefault="00E3249F" w:rsidP="00233C0B">
            <w:pPr>
              <w:ind w:left="459" w:right="318"/>
              <w:rPr>
                <w:color w:val="943634" w:themeColor="accent2" w:themeShade="BF"/>
              </w:rPr>
            </w:pPr>
            <w:r w:rsidRPr="00C96652">
              <w:rPr>
                <w:rFonts w:hint="eastAsia"/>
                <w:color w:val="943634" w:themeColor="accent2" w:themeShade="BF"/>
              </w:rPr>
              <w:t>ObjectJ&gt; Toggle VisRange</w:t>
            </w:r>
          </w:p>
          <w:p w:rsidR="00E3249F" w:rsidRDefault="00E3249F" w:rsidP="00233C0B">
            <w:pPr>
              <w:ind w:left="459" w:right="318"/>
              <w:rPr>
                <w:lang w:val="nl-NL"/>
              </w:rPr>
            </w:pPr>
            <w:r>
              <w:rPr>
                <w:rFonts w:hint="eastAsia"/>
              </w:rPr>
              <w:t>Toggles between showing markers only in their home slice, or showing markers always, independent which slice is active.</w:t>
            </w:r>
            <w:r w:rsidRPr="00A335CB">
              <w:rPr>
                <w:lang w:val="nl-NL"/>
              </w:rPr>
              <w:t xml:space="preserve"> </w:t>
            </w:r>
          </w:p>
          <w:p w:rsidR="00E3249F" w:rsidRPr="00A335CB" w:rsidRDefault="00E3249F" w:rsidP="00233C0B">
            <w:pPr>
              <w:ind w:left="459" w:right="318"/>
              <w:rPr>
                <w:lang w:val="nl-NL"/>
              </w:rPr>
            </w:pPr>
          </w:p>
          <w:p w:rsidR="00E3249F" w:rsidRPr="003F6776" w:rsidRDefault="00E3249F" w:rsidP="00233C0B">
            <w:pPr>
              <w:ind w:left="459" w:right="318"/>
              <w:rPr>
                <w:color w:val="943634" w:themeColor="accent2" w:themeShade="BF"/>
                <w:lang w:val="nl-NL"/>
              </w:rPr>
            </w:pPr>
            <w:r w:rsidRPr="00C96652">
              <w:rPr>
                <w:rFonts w:hint="eastAsia"/>
                <w:color w:val="943634" w:themeColor="accent2" w:themeShade="BF"/>
              </w:rPr>
              <w:t xml:space="preserve">ObjectJ&gt; </w:t>
            </w:r>
            <w:r>
              <w:rPr>
                <w:color w:val="943634" w:themeColor="accent2" w:themeShade="BF"/>
                <w:lang w:val="nl-NL"/>
              </w:rPr>
              <w:t>Set Burst Sign [F4]</w:t>
            </w:r>
          </w:p>
          <w:p w:rsidR="00E3249F" w:rsidRDefault="00E3249F" w:rsidP="00233C0B">
            <w:pPr>
              <w:ind w:left="459" w:right="318"/>
            </w:pPr>
            <w:r>
              <w:rPr>
                <w:lang w:val="nl-NL"/>
              </w:rPr>
              <w:t xml:space="preserve">To set a </w:t>
            </w:r>
            <w:r>
              <w:t>"</w:t>
            </w:r>
            <w:r>
              <w:rPr>
                <w:lang w:val="nl-NL"/>
              </w:rPr>
              <w:t>Burst</w:t>
            </w:r>
            <w:r>
              <w:t>"</w:t>
            </w:r>
            <w:r>
              <w:rPr>
                <w:lang w:val="nl-NL"/>
              </w:rPr>
              <w:t xml:space="preserve"> sign, position the mouse cursor </w:t>
            </w:r>
            <w:r w:rsidRPr="008D1613">
              <w:rPr>
                <w:b/>
                <w:bCs/>
                <w:lang w:val="nl-NL"/>
              </w:rPr>
              <w:t>above</w:t>
            </w:r>
            <w:r>
              <w:rPr>
                <w:lang w:val="nl-NL"/>
              </w:rPr>
              <w:t xml:space="preserve"> the time axis and hit the F4 key. A triangle will be painted into the plot window and the corresponding time point is entered in the results column </w:t>
            </w:r>
            <w:r>
              <w:t xml:space="preserve">"tBurst". If the cursor was positionded </w:t>
            </w:r>
            <w:r w:rsidRPr="008D1613">
              <w:rPr>
                <w:b/>
                <w:bCs/>
              </w:rPr>
              <w:t>below</w:t>
            </w:r>
            <w:r>
              <w:t xml:space="preserve"> the time line, any "Burst" sign is removed. We used the "Burst" sign to mark the sudden increase of area after germination. </w:t>
            </w:r>
          </w:p>
          <w:p w:rsidR="00E3249F" w:rsidRDefault="00E3249F" w:rsidP="00233C0B">
            <w:pPr>
              <w:ind w:left="459" w:right="318"/>
            </w:pPr>
          </w:p>
          <w:p w:rsidR="00E3249F" w:rsidRPr="003F6776" w:rsidRDefault="00E3249F" w:rsidP="00233C0B">
            <w:pPr>
              <w:ind w:left="459" w:right="318"/>
              <w:rPr>
                <w:color w:val="943634" w:themeColor="accent2" w:themeShade="BF"/>
                <w:lang w:val="nl-NL"/>
              </w:rPr>
            </w:pPr>
            <w:r w:rsidRPr="00C96652">
              <w:rPr>
                <w:rFonts w:hint="eastAsia"/>
                <w:color w:val="943634" w:themeColor="accent2" w:themeShade="BF"/>
              </w:rPr>
              <w:t xml:space="preserve">ObjectJ&gt; </w:t>
            </w:r>
            <w:r>
              <w:rPr>
                <w:color w:val="943634" w:themeColor="accent2" w:themeShade="BF"/>
                <w:lang w:val="nl-NL"/>
              </w:rPr>
              <w:t>Set Start Sign [F5]</w:t>
            </w:r>
          </w:p>
          <w:p w:rsidR="00E3249F" w:rsidRDefault="00E3249F" w:rsidP="00233C0B">
            <w:pPr>
              <w:ind w:left="459" w:right="318"/>
            </w:pPr>
            <w:r>
              <w:rPr>
                <w:lang w:val="nl-NL"/>
              </w:rPr>
              <w:t xml:space="preserve">To set a </w:t>
            </w:r>
            <w:r>
              <w:t>"</w:t>
            </w:r>
            <w:r>
              <w:rPr>
                <w:lang w:val="nl-NL"/>
              </w:rPr>
              <w:t>Start</w:t>
            </w:r>
            <w:r>
              <w:t>"</w:t>
            </w:r>
            <w:r>
              <w:rPr>
                <w:lang w:val="nl-NL"/>
              </w:rPr>
              <w:t xml:space="preserve"> sign, position the mouse cursor </w:t>
            </w:r>
            <w:r w:rsidRPr="008D1613">
              <w:rPr>
                <w:b/>
                <w:bCs/>
                <w:lang w:val="nl-NL"/>
              </w:rPr>
              <w:t>above</w:t>
            </w:r>
            <w:r>
              <w:rPr>
                <w:lang w:val="nl-NL"/>
              </w:rPr>
              <w:t xml:space="preserve"> the time axis in the plot window and hit the F5 key. A triangle will be painted into the plot window and the corresponding time point is entered in the results column </w:t>
            </w:r>
            <w:r>
              <w:t xml:space="preserve">"t1". If the cursor was positioned </w:t>
            </w:r>
            <w:r w:rsidRPr="008D1613">
              <w:rPr>
                <w:b/>
                <w:bCs/>
              </w:rPr>
              <w:t>below</w:t>
            </w:r>
            <w:r>
              <w:t xml:space="preserve"> the time line, any "Start" sign is removed. The start sign is used for defining the left border of the time window that is used for evaluating the doubling time TD. We were setting the start sign at tDiv, which is the time where the cell started its first division.</w:t>
            </w:r>
          </w:p>
          <w:p w:rsidR="00E3249F" w:rsidRDefault="00E3249F" w:rsidP="00233C0B">
            <w:pPr>
              <w:ind w:left="459" w:right="318"/>
            </w:pPr>
          </w:p>
          <w:p w:rsidR="00E3249F" w:rsidRPr="003F6776" w:rsidRDefault="00E3249F" w:rsidP="00233C0B">
            <w:pPr>
              <w:ind w:left="459" w:right="318"/>
              <w:rPr>
                <w:color w:val="943634" w:themeColor="accent2" w:themeShade="BF"/>
                <w:lang w:val="nl-NL"/>
              </w:rPr>
            </w:pPr>
            <w:r w:rsidRPr="00C96652">
              <w:rPr>
                <w:rFonts w:hint="eastAsia"/>
                <w:color w:val="943634" w:themeColor="accent2" w:themeShade="BF"/>
              </w:rPr>
              <w:t xml:space="preserve">ObjectJ&gt; </w:t>
            </w:r>
            <w:r>
              <w:rPr>
                <w:color w:val="943634" w:themeColor="accent2" w:themeShade="BF"/>
                <w:lang w:val="nl-NL"/>
              </w:rPr>
              <w:t>Set Stop Sign [F6]</w:t>
            </w:r>
          </w:p>
          <w:p w:rsidR="00E3249F" w:rsidRDefault="00E3249F" w:rsidP="00233C0B">
            <w:pPr>
              <w:ind w:left="459" w:right="318"/>
            </w:pPr>
            <w:r>
              <w:rPr>
                <w:lang w:val="nl-NL"/>
              </w:rPr>
              <w:t xml:space="preserve">Similar to </w:t>
            </w:r>
            <w:r>
              <w:t>"</w:t>
            </w:r>
            <w:r>
              <w:rPr>
                <w:lang w:val="nl-NL"/>
              </w:rPr>
              <w:t>Start</w:t>
            </w:r>
            <w:r>
              <w:t>"</w:t>
            </w:r>
            <w:r>
              <w:rPr>
                <w:lang w:val="nl-NL"/>
              </w:rPr>
              <w:t xml:space="preserve"> sign, </w:t>
            </w:r>
            <w:r>
              <w:t xml:space="preserve">for defining the right border of the time window used for evaluating the doubling time TD. </w:t>
            </w:r>
          </w:p>
          <w:p w:rsidR="00E3249F" w:rsidRDefault="00E3249F" w:rsidP="00233C0B">
            <w:pPr>
              <w:ind w:left="459" w:right="318"/>
            </w:pPr>
          </w:p>
          <w:p w:rsidR="00E3249F" w:rsidRPr="003F6776" w:rsidRDefault="00E3249F" w:rsidP="00233C0B">
            <w:pPr>
              <w:ind w:left="459" w:right="176"/>
              <w:rPr>
                <w:color w:val="943634" w:themeColor="accent2" w:themeShade="BF"/>
                <w:lang w:val="nl-NL"/>
              </w:rPr>
            </w:pPr>
            <w:r w:rsidRPr="00C96652">
              <w:rPr>
                <w:rFonts w:hint="eastAsia"/>
                <w:color w:val="943634" w:themeColor="accent2" w:themeShade="BF"/>
              </w:rPr>
              <w:t xml:space="preserve">ObjectJ&gt; </w:t>
            </w:r>
            <w:r>
              <w:rPr>
                <w:color w:val="943634" w:themeColor="accent2" w:themeShade="BF"/>
                <w:lang w:val="nl-NL"/>
              </w:rPr>
              <w:t>Fit Growth Plots</w:t>
            </w:r>
          </w:p>
          <w:p w:rsidR="00E3249F" w:rsidRPr="00BB702A" w:rsidRDefault="00E3249F" w:rsidP="00233C0B">
            <w:pPr>
              <w:ind w:left="459" w:right="318"/>
              <w:rPr>
                <w:lang w:val="nl-NL"/>
              </w:rPr>
            </w:pPr>
            <w:r>
              <w:rPr>
                <w:lang w:val="nl-NL"/>
              </w:rPr>
              <w:t>Performs linear regression curve fit inside the evaluation time window</w:t>
            </w:r>
            <w:r>
              <w:rPr>
                <w:rFonts w:hint="eastAsia"/>
              </w:rPr>
              <w:t>.</w:t>
            </w:r>
            <w:r>
              <w:rPr>
                <w:lang w:val="nl-NL"/>
              </w:rPr>
              <w:t xml:space="preserve"> If no </w:t>
            </w:r>
            <w:r>
              <w:t>"</w:t>
            </w:r>
            <w:r>
              <w:rPr>
                <w:lang w:val="nl-NL"/>
              </w:rPr>
              <w:t>Start</w:t>
            </w:r>
            <w:r>
              <w:t>"</w:t>
            </w:r>
            <w:r>
              <w:rPr>
                <w:lang w:val="nl-NL"/>
              </w:rPr>
              <w:t xml:space="preserve"> sign was set, the evaluation window will be set automatically: it detects the straight end of the plot that conforms to the desired fit quality (default: R^2=0.99).  Set R^2 to 0 or 1 to disable automatic detection.</w:t>
            </w:r>
          </w:p>
          <w:p w:rsidR="00E3249F" w:rsidRPr="00C40E51" w:rsidRDefault="00E3249F" w:rsidP="00233C0B">
            <w:pPr>
              <w:ind w:left="459" w:right="318"/>
              <w:rPr>
                <w:lang w:val="nl-NL"/>
              </w:rPr>
            </w:pPr>
          </w:p>
          <w:p w:rsidR="00E3249F" w:rsidRDefault="00E3249F" w:rsidP="00233C0B">
            <w:pPr>
              <w:ind w:left="459" w:right="318"/>
            </w:pPr>
          </w:p>
          <w:p w:rsidR="00E3249F" w:rsidRPr="00C96652" w:rsidRDefault="00E3249F" w:rsidP="00233C0B">
            <w:pPr>
              <w:ind w:left="459" w:right="318"/>
              <w:rPr>
                <w:color w:val="943634" w:themeColor="accent2" w:themeShade="BF"/>
              </w:rPr>
            </w:pPr>
            <w:r w:rsidRPr="00C96652">
              <w:rPr>
                <w:rFonts w:hint="eastAsia"/>
                <w:color w:val="943634" w:themeColor="accent2" w:themeShade="BF"/>
              </w:rPr>
              <w:t>Columns in ObjectJ results:</w:t>
            </w:r>
          </w:p>
          <w:p w:rsidR="00E3249F" w:rsidRDefault="00E3249F" w:rsidP="00233C0B">
            <w:pPr>
              <w:ind w:left="459" w:right="318"/>
            </w:pPr>
          </w:p>
          <w:p w:rsidR="00E3249F" w:rsidRDefault="00E3249F" w:rsidP="00233C0B">
            <w:pPr>
              <w:tabs>
                <w:tab w:val="left" w:pos="1701"/>
              </w:tabs>
              <w:ind w:left="459" w:right="318"/>
            </w:pPr>
            <w:r>
              <w:rPr>
                <w:rFonts w:hint="eastAsia"/>
              </w:rPr>
              <w:t xml:space="preserve">DarkTime: </w:t>
            </w:r>
            <w:r>
              <w:rPr>
                <w:lang w:val="nl-NL"/>
              </w:rPr>
              <w:tab/>
            </w:r>
            <w:r>
              <w:rPr>
                <w:rFonts w:hint="eastAsia"/>
              </w:rPr>
              <w:t>time (in minutes) when the grayvalue drops below the</w:t>
            </w:r>
            <w:r>
              <w:rPr>
                <w:lang w:val="nl-NL"/>
              </w:rPr>
              <w:br/>
            </w:r>
            <w:r>
              <w:rPr>
                <w:rFonts w:hint="eastAsia"/>
              </w:rPr>
              <w:t>user defined threshold</w:t>
            </w:r>
          </w:p>
          <w:p w:rsidR="00E3249F" w:rsidRDefault="00E3249F" w:rsidP="00233C0B">
            <w:pPr>
              <w:tabs>
                <w:tab w:val="left" w:pos="1701"/>
              </w:tabs>
              <w:ind w:left="459" w:right="318"/>
            </w:pPr>
            <w:r>
              <w:rPr>
                <w:rFonts w:hint="eastAsia"/>
              </w:rPr>
              <w:t xml:space="preserve">TLeft: </w:t>
            </w:r>
            <w:r>
              <w:rPr>
                <w:lang w:val="nl-NL"/>
              </w:rPr>
              <w:tab/>
            </w:r>
            <w:r>
              <w:rPr>
                <w:rFonts w:hint="eastAsia"/>
              </w:rPr>
              <w:t>time (in minutes) when the gray value reaches 90% of drop range</w:t>
            </w:r>
          </w:p>
          <w:p w:rsidR="00E3249F" w:rsidRDefault="00E3249F" w:rsidP="00233C0B">
            <w:pPr>
              <w:tabs>
                <w:tab w:val="left" w:pos="1701"/>
              </w:tabs>
              <w:ind w:left="459" w:right="318"/>
            </w:pPr>
            <w:r>
              <w:rPr>
                <w:rFonts w:hint="eastAsia"/>
              </w:rPr>
              <w:t xml:space="preserve">TMid: </w:t>
            </w:r>
            <w:r>
              <w:rPr>
                <w:lang w:val="nl-NL"/>
              </w:rPr>
              <w:tab/>
            </w:r>
            <w:r>
              <w:rPr>
                <w:rFonts w:hint="eastAsia"/>
              </w:rPr>
              <w:t>middle between TLeft and TRight</w:t>
            </w:r>
          </w:p>
          <w:p w:rsidR="00E3249F" w:rsidRDefault="00E3249F" w:rsidP="00233C0B">
            <w:pPr>
              <w:tabs>
                <w:tab w:val="left" w:pos="1701"/>
              </w:tabs>
              <w:ind w:left="459" w:right="318"/>
            </w:pPr>
            <w:r>
              <w:rPr>
                <w:rFonts w:hint="eastAsia"/>
              </w:rPr>
              <w:t xml:space="preserve">TRight: </w:t>
            </w:r>
            <w:r>
              <w:rPr>
                <w:lang w:val="nl-NL"/>
              </w:rPr>
              <w:tab/>
            </w:r>
            <w:r>
              <w:rPr>
                <w:rFonts w:hint="eastAsia"/>
              </w:rPr>
              <w:t>time (in minutes) when the gray value reaches 10% of drop range</w:t>
            </w:r>
          </w:p>
          <w:p w:rsidR="00E3249F" w:rsidRDefault="00E3249F" w:rsidP="00233C0B">
            <w:pPr>
              <w:tabs>
                <w:tab w:val="left" w:pos="1701"/>
              </w:tabs>
              <w:ind w:left="459" w:right="318"/>
            </w:pPr>
            <w:r>
              <w:rPr>
                <w:lang w:val="nl-NL"/>
              </w:rPr>
              <w:t>DropTime</w:t>
            </w:r>
            <w:r>
              <w:rPr>
                <w:rFonts w:hint="eastAsia"/>
              </w:rPr>
              <w:t xml:space="preserve">: </w:t>
            </w:r>
            <w:r>
              <w:rPr>
                <w:lang w:val="nl-NL"/>
              </w:rPr>
              <w:tab/>
              <w:t xml:space="preserve">drop </w:t>
            </w:r>
            <w:r>
              <w:rPr>
                <w:rFonts w:hint="eastAsia"/>
              </w:rPr>
              <w:t xml:space="preserve">time (in minutes) </w:t>
            </w:r>
            <w:r>
              <w:rPr>
                <w:lang w:val="nl-NL"/>
              </w:rPr>
              <w:t>elapsed during</w:t>
            </w:r>
            <w:r>
              <w:rPr>
                <w:rFonts w:hint="eastAsia"/>
              </w:rPr>
              <w:t xml:space="preserve"> 90% to 10% of drop range</w:t>
            </w:r>
          </w:p>
          <w:p w:rsidR="00E3249F" w:rsidRDefault="00E3249F" w:rsidP="00233C0B">
            <w:pPr>
              <w:tabs>
                <w:tab w:val="left" w:pos="1701"/>
              </w:tabs>
              <w:ind w:left="459" w:right="318"/>
            </w:pPr>
            <w:r>
              <w:rPr>
                <w:rFonts w:hint="eastAsia"/>
              </w:rPr>
              <w:t xml:space="preserve">TD: </w:t>
            </w:r>
            <w:r>
              <w:rPr>
                <w:lang w:val="nl-NL"/>
              </w:rPr>
              <w:tab/>
            </w:r>
            <w:r>
              <w:rPr>
                <w:rFonts w:hint="eastAsia"/>
              </w:rPr>
              <w:t xml:space="preserve">doubling time (in minutes) calculated from the </w:t>
            </w:r>
            <w:r>
              <w:rPr>
                <w:lang w:val="nl-NL"/>
              </w:rPr>
              <w:t>evaluation time window</w:t>
            </w:r>
            <w:r>
              <w:rPr>
                <w:rFonts w:hint="eastAsia"/>
              </w:rPr>
              <w:t xml:space="preserve"> </w:t>
            </w:r>
          </w:p>
          <w:p w:rsidR="00E3249F" w:rsidRPr="001E1193" w:rsidRDefault="00E3249F" w:rsidP="00233C0B">
            <w:pPr>
              <w:tabs>
                <w:tab w:val="left" w:pos="1701"/>
              </w:tabs>
              <w:ind w:left="459" w:right="318"/>
              <w:rPr>
                <w:lang w:val="nl-NL"/>
              </w:rPr>
            </w:pPr>
            <w:r>
              <w:rPr>
                <w:rFonts w:hint="eastAsia"/>
              </w:rPr>
              <w:t xml:space="preserve">tBurst: </w:t>
            </w:r>
            <w:r>
              <w:rPr>
                <w:lang w:val="nl-NL"/>
              </w:rPr>
              <w:tab/>
              <w:t>time where the user set a Burst sign</w:t>
            </w:r>
          </w:p>
          <w:p w:rsidR="00E3249F" w:rsidRPr="001E1193" w:rsidRDefault="00E3249F" w:rsidP="00233C0B">
            <w:pPr>
              <w:tabs>
                <w:tab w:val="left" w:pos="1701"/>
              </w:tabs>
              <w:ind w:left="459" w:right="318"/>
              <w:rPr>
                <w:lang w:val="nl-NL"/>
              </w:rPr>
            </w:pPr>
            <w:r>
              <w:rPr>
                <w:rFonts w:hint="eastAsia"/>
              </w:rPr>
              <w:t xml:space="preserve">t1: </w:t>
            </w:r>
            <w:r>
              <w:rPr>
                <w:lang w:val="nl-NL"/>
              </w:rPr>
              <w:tab/>
              <w:t xml:space="preserve">where theuser set a </w:t>
            </w:r>
            <w:r>
              <w:rPr>
                <w:rFonts w:hint="eastAsia"/>
              </w:rPr>
              <w:t>start</w:t>
            </w:r>
            <w:r>
              <w:t>point for curve fitting</w:t>
            </w:r>
            <w:r>
              <w:rPr>
                <w:lang w:val="nl-NL"/>
              </w:rPr>
              <w:t xml:space="preserve"> </w:t>
            </w:r>
            <w:r>
              <w:rPr>
                <w:rFonts w:hint="eastAsia"/>
              </w:rPr>
              <w:t>(</w:t>
            </w:r>
            <w:r>
              <w:t>we</w:t>
            </w:r>
            <w:r>
              <w:rPr>
                <w:rFonts w:hint="eastAsia"/>
              </w:rPr>
              <w:t xml:space="preserve"> </w:t>
            </w:r>
            <w:r>
              <w:rPr>
                <w:lang w:val="nl-NL"/>
              </w:rPr>
              <w:t>set this sign to the time  point of first cell division, tdiv)</w:t>
            </w:r>
          </w:p>
          <w:p w:rsidR="00E3249F" w:rsidRDefault="00E3249F" w:rsidP="00233C0B">
            <w:pPr>
              <w:tabs>
                <w:tab w:val="left" w:pos="1701"/>
              </w:tabs>
              <w:ind w:left="459" w:right="318"/>
            </w:pPr>
            <w:r>
              <w:rPr>
                <w:rFonts w:hint="eastAsia"/>
              </w:rPr>
              <w:t xml:space="preserve">t2: </w:t>
            </w:r>
            <w:r>
              <w:rPr>
                <w:lang w:val="nl-NL"/>
              </w:rPr>
              <w:tab/>
              <w:t xml:space="preserve">endpoint </w:t>
            </w:r>
            <w:r>
              <w:t>for curve fitting</w:t>
            </w:r>
          </w:p>
          <w:p w:rsidR="00E3249F" w:rsidRPr="0089211F" w:rsidRDefault="00E3249F" w:rsidP="00233C0B">
            <w:pPr>
              <w:tabs>
                <w:tab w:val="left" w:pos="1701"/>
              </w:tabs>
              <w:ind w:left="459" w:right="318"/>
            </w:pPr>
          </w:p>
          <w:p w:rsidR="00E3249F" w:rsidRDefault="00E3249F" w:rsidP="00233C0B">
            <w:pPr>
              <w:ind w:left="459" w:right="318"/>
            </w:pPr>
          </w:p>
        </w:tc>
      </w:tr>
      <w:bookmarkEnd w:id="0"/>
    </w:tbl>
    <w:p w:rsidR="00B667B7" w:rsidRPr="00E3249F" w:rsidRDefault="00B667B7" w:rsidP="00E3249F"/>
    <w:sectPr w:rsidR="00B667B7" w:rsidRPr="00E3249F" w:rsidSect="00233C0B">
      <w:pgSz w:w="11906" w:h="16838"/>
      <w:pgMar w:top="1440" w:right="1800" w:bottom="1440" w:left="1276" w:gutter="0"/>
    </w:sectPr>
  </w:body>
</w:document>
</file>

<file path=word/fontTable.xml><?xml version="1.0" encoding="utf-8"?>
<w:fonts xmlns:r="http://schemas.openxmlformats.org/officeDocument/2006/relationships" xmlns:w="http://schemas.openxmlformats.org/wordprocessingml/2006/main">
  <w:font w:name="Cambria">
    <w:altName w:val="Times New Roman"/>
    <w:panose1 w:val="00000000000000000000"/>
    <w:charset w:val="4D"/>
    <w:family w:val="roman"/>
    <w:notTrueType/>
    <w:pitch w:val="default"/>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0000000000000000000"/>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0000000000000000000"/>
    <w:charset w:val="4D"/>
    <w:family w:val="roman"/>
    <w:notTrueType/>
    <w:pitch w:val="default"/>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
  <w:rsids>
    <w:rsidRoot w:val="00C96652"/>
    <w:rsid w:val="00035F02"/>
    <w:rsid w:val="000A4C85"/>
    <w:rsid w:val="001C1B6C"/>
    <w:rsid w:val="001E1193"/>
    <w:rsid w:val="001E58FB"/>
    <w:rsid w:val="001F080F"/>
    <w:rsid w:val="00227F41"/>
    <w:rsid w:val="00233C0B"/>
    <w:rsid w:val="00275359"/>
    <w:rsid w:val="002C1171"/>
    <w:rsid w:val="002E6D32"/>
    <w:rsid w:val="002F7F91"/>
    <w:rsid w:val="00336E51"/>
    <w:rsid w:val="00351C2C"/>
    <w:rsid w:val="00363B8F"/>
    <w:rsid w:val="003A3394"/>
    <w:rsid w:val="003B3A41"/>
    <w:rsid w:val="003C21F4"/>
    <w:rsid w:val="003D7DE9"/>
    <w:rsid w:val="003F5758"/>
    <w:rsid w:val="003F6776"/>
    <w:rsid w:val="0041028A"/>
    <w:rsid w:val="004448E3"/>
    <w:rsid w:val="00457D1C"/>
    <w:rsid w:val="004660AE"/>
    <w:rsid w:val="004D3D15"/>
    <w:rsid w:val="005477AD"/>
    <w:rsid w:val="00655377"/>
    <w:rsid w:val="007A1B5E"/>
    <w:rsid w:val="007A4931"/>
    <w:rsid w:val="0089211F"/>
    <w:rsid w:val="008B7FFB"/>
    <w:rsid w:val="008D1613"/>
    <w:rsid w:val="008D7F1C"/>
    <w:rsid w:val="00900227"/>
    <w:rsid w:val="00906F32"/>
    <w:rsid w:val="00922989"/>
    <w:rsid w:val="009340B6"/>
    <w:rsid w:val="0094736F"/>
    <w:rsid w:val="00955A3B"/>
    <w:rsid w:val="00970F1A"/>
    <w:rsid w:val="00A335CB"/>
    <w:rsid w:val="00A44885"/>
    <w:rsid w:val="00A941C2"/>
    <w:rsid w:val="00AD6071"/>
    <w:rsid w:val="00AF2509"/>
    <w:rsid w:val="00B0212F"/>
    <w:rsid w:val="00B62B36"/>
    <w:rsid w:val="00B667B7"/>
    <w:rsid w:val="00B76C6E"/>
    <w:rsid w:val="00BA15CE"/>
    <w:rsid w:val="00BB702A"/>
    <w:rsid w:val="00BE640D"/>
    <w:rsid w:val="00BF4FBE"/>
    <w:rsid w:val="00C40E51"/>
    <w:rsid w:val="00C96652"/>
    <w:rsid w:val="00DD78F5"/>
    <w:rsid w:val="00E3249F"/>
    <w:rsid w:val="00E3770B"/>
    <w:rsid w:val="00E52237"/>
    <w:rsid w:val="00E7172F"/>
    <w:rsid w:val="00EA070C"/>
    <w:rsid w:val="00EB2845"/>
    <w:rsid w:val="00EC7B8E"/>
    <w:rsid w:val="00ED00ED"/>
    <w:rsid w:val="00FC101F"/>
    <w:rsid w:val="00FD3C18"/>
    <w:rsid w:val="00FE7B66"/>
  </w:rsids>
  <m:mathPr>
    <m:mathFont m:val="Impact"/>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276"/>
  <w:style w:type="paragraph" w:default="1" w:styleId="Normal">
    <w:name w:val="Normal"/>
    <w:qFormat/>
    <w:rsid w:val="00970F1A"/>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
    <w:uiPriority w:val="99"/>
    <w:semiHidden/>
    <w:unhideWhenUsed/>
    <w:rsid w:val="00C9665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96652"/>
    <w:rPr>
      <w:rFonts w:ascii="Lucida Grande" w:hAnsi="Lucida Grande" w:cs="Lucida Grande"/>
      <w:sz w:val="18"/>
      <w:szCs w:val="18"/>
    </w:rPr>
  </w:style>
  <w:style w:type="character" w:styleId="Hyperlink">
    <w:name w:val="Hyperlink"/>
    <w:basedOn w:val="DefaultParagraphFont"/>
    <w:uiPriority w:val="99"/>
    <w:unhideWhenUsed/>
    <w:rsid w:val="00275359"/>
    <w:rPr>
      <w:color w:val="0000FF" w:themeColor="hyperlink"/>
      <w:u w:val="single"/>
    </w:rPr>
  </w:style>
  <w:style w:type="character" w:styleId="FollowedHyperlink">
    <w:name w:val="FollowedHyperlink"/>
    <w:basedOn w:val="DefaultParagraphFont"/>
    <w:uiPriority w:val="99"/>
    <w:semiHidden/>
    <w:unhideWhenUsed/>
    <w:rsid w:val="00275359"/>
    <w:rPr>
      <w:color w:val="800080" w:themeColor="followedHyperlink"/>
      <w:u w:val="single"/>
    </w:rPr>
  </w:style>
  <w:style w:type="paragraph" w:styleId="PlainText">
    <w:name w:val="Plain Text"/>
    <w:basedOn w:val="Normal"/>
    <w:link w:val="PlainTextChar"/>
    <w:uiPriority w:val="99"/>
    <w:rsid w:val="00336E51"/>
    <w:rPr>
      <w:rFonts w:ascii="Courier" w:eastAsia="Cambria" w:hAnsi="Courier" w:cs="Times New Roman"/>
      <w:sz w:val="21"/>
      <w:szCs w:val="21"/>
      <w:lang w:eastAsia="en-US"/>
    </w:rPr>
  </w:style>
  <w:style w:type="character" w:customStyle="1" w:styleId="PlainTextChar">
    <w:name w:val="Plain Text Char"/>
    <w:basedOn w:val="DefaultParagraphFont"/>
    <w:link w:val="PlainText"/>
    <w:uiPriority w:val="99"/>
    <w:rsid w:val="00336E51"/>
    <w:rPr>
      <w:rFonts w:ascii="Courier" w:eastAsia="Cambria" w:hAnsi="Courier" w:cs="Times New Roman"/>
      <w:sz w:val="21"/>
      <w:szCs w:val="21"/>
      <w:lang w:eastAsia="en-US"/>
    </w:rPr>
  </w:style>
  <w:style w:type="character" w:styleId="Strong">
    <w:name w:val="Strong"/>
    <w:basedOn w:val="DefaultParagraphFont"/>
    <w:uiPriority w:val="22"/>
    <w:qFormat/>
    <w:rsid w:val="008D1613"/>
    <w:rPr>
      <w:b/>
      <w:bCs/>
    </w:rPr>
  </w:style>
  <w:style w:type="table" w:styleId="TableGrid">
    <w:name w:val="Table Grid"/>
    <w:basedOn w:val="TableNormal"/>
    <w:rsid w:val="00E3249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9665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96652"/>
    <w:rPr>
      <w:rFonts w:ascii="Lucida Grande" w:hAnsi="Lucida Grande" w:cs="Lucida Grande"/>
      <w:sz w:val="18"/>
      <w:szCs w:val="18"/>
    </w:rPr>
  </w:style>
  <w:style w:type="character" w:styleId="Hyperlink">
    <w:name w:val="Hyperlink"/>
    <w:basedOn w:val="DefaultParagraphFont"/>
    <w:uiPriority w:val="99"/>
    <w:unhideWhenUsed/>
    <w:rsid w:val="00275359"/>
    <w:rPr>
      <w:color w:val="0000FF" w:themeColor="hyperlink"/>
      <w:u w:val="single"/>
    </w:rPr>
  </w:style>
  <w:style w:type="character" w:styleId="FollowedHyperlink">
    <w:name w:val="FollowedHyperlink"/>
    <w:basedOn w:val="DefaultParagraphFont"/>
    <w:uiPriority w:val="99"/>
    <w:semiHidden/>
    <w:unhideWhenUsed/>
    <w:rsid w:val="00275359"/>
    <w:rPr>
      <w:color w:val="800080" w:themeColor="followedHyperlink"/>
      <w:u w:val="single"/>
    </w:rPr>
  </w:style>
  <w:style w:type="paragraph" w:styleId="PlainText">
    <w:name w:val="Plain Text"/>
    <w:basedOn w:val="Normal"/>
    <w:link w:val="PlainTextChar"/>
    <w:uiPriority w:val="99"/>
    <w:rsid w:val="00336E51"/>
    <w:rPr>
      <w:rFonts w:ascii="Courier" w:eastAsia="Cambria" w:hAnsi="Courier" w:cs="Times New Roman"/>
      <w:sz w:val="21"/>
      <w:szCs w:val="21"/>
      <w:lang w:eastAsia="en-US"/>
    </w:rPr>
  </w:style>
  <w:style w:type="character" w:customStyle="1" w:styleId="PlainTextChar">
    <w:name w:val="Plain Text Char"/>
    <w:basedOn w:val="DefaultParagraphFont"/>
    <w:link w:val="PlainText"/>
    <w:uiPriority w:val="99"/>
    <w:rsid w:val="00336E51"/>
    <w:rPr>
      <w:rFonts w:ascii="Courier" w:eastAsia="Cambria" w:hAnsi="Courier" w:cs="Times New Roman"/>
      <w:sz w:val="21"/>
      <w:szCs w:val="21"/>
      <w:lang w:eastAsia="en-US"/>
    </w:rPr>
  </w:style>
  <w:style w:type="character" w:styleId="Strong">
    <w:name w:val="Strong"/>
    <w:basedOn w:val="DefaultParagraphFont"/>
    <w:uiPriority w:val="22"/>
    <w:qFormat/>
    <w:rsid w:val="008D1613"/>
    <w:rPr>
      <w:b/>
      <w:bCs/>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imon.bio.uva.nl/objectj/7a-Examples.html" TargetMode="External"/><Relationship Id="rId5" Type="http://schemas.openxmlformats.org/officeDocument/2006/relationships/hyperlink" Target="http://simon.bio.uva.nl/objectj/examples/sporetracker/download" TargetMode="External"/><Relationship Id="rId6" Type="http://schemas.openxmlformats.org/officeDocument/2006/relationships/hyperlink" Target="http://simon.bio.uva.nl/objectj/examples/sporetracker/SporeTracker7.mov" TargetMode="Externa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0" Type="http://schemas.microsoft.com/office/2007/relationships/stylesWithEffects" Target="stylesWithEffects.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TotalTime>
  <Pages>3</Pages>
  <Words>758</Words>
  <Characters>4324</Characters>
  <Application>Microsoft Macintosh Word</Application>
  <DocSecurity>0</DocSecurity>
  <Lines>36</Lines>
  <Paragraphs>8</Paragraphs>
  <ScaleCrop>false</ScaleCrop>
  <Company>UvA</Company>
  <LinksUpToDate>false</LinksUpToDate>
  <CharactersWithSpaces>5310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norbert</dc:creator>
  <cp:keywords/>
  <dc:description/>
  <cp:lastModifiedBy>norbert</cp:lastModifiedBy>
  <cp:revision>18</cp:revision>
  <cp:lastPrinted>2012-11-12T12:54:00Z</cp:lastPrinted>
  <dcterms:created xsi:type="dcterms:W3CDTF">2012-04-17T13:33:00Z</dcterms:created>
  <dcterms:modified xsi:type="dcterms:W3CDTF">2012-12-15T13:17:00Z</dcterms:modified>
</cp:coreProperties>
</file>