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4B5563"/>
          <w:sz w:val="24"/>
        </w:rPr>
        <w:t>SCH</w:t>
      </w:r>
    </w:p>
    <w:p>
      <w:pPr>
        <w:jc w:val="left"/>
      </w:pPr>
      <w:r>
        <w:rPr>
          <w:b/>
          <w:color w:val="111827"/>
          <w:sz w:val="56"/>
        </w:rPr>
        <w:t>File System Shop Manual</w:t>
      </w:r>
    </w:p>
    <w:p>
      <w:pPr>
        <w:jc w:val="left"/>
      </w:pPr>
      <w:r>
        <w:rPr>
          <w:color w:val="4B5563"/>
          <w:sz w:val="26"/>
        </w:rPr>
        <w:t>Operational manual for the master file-system policy, the Company &amp; Asset Admin app, and the SCH File Naming Assistant.</w:t>
      </w:r>
    </w:p>
    <w:tbl>
      <w:tblPr>
        <w:tblW w:type="auto" w:w="0"/>
        <w:jc w:val="left"/>
        <w:tblLayout w:type="fixed"/>
        <w:tblLook w:firstColumn="1" w:firstRow="1" w:lastColumn="0" w:lastRow="0" w:noHBand="0" w:noVBand="1" w:val="04A0"/>
      </w:tblPr>
      <w:tblGrid>
        <w:gridCol w:w="4929"/>
        <w:gridCol w:w="4929"/>
      </w:tblGrid>
      <w:tr>
        <w:tc>
          <w:tcPr>
            <w:tcW w:type="dxa" w:w="2381"/>
            <w:tcMar>
              <w:top w:w="80" w:type="dxa"/>
              <w:start w:w="110" w:type="dxa"/>
              <w:bottom w:w="80" w:type="dxa"/>
              <w:end w:w="110" w:type="dxa"/>
            </w:tcMar>
            <w:vAlign w:val="center"/>
            <w:shd w:fill="E5E7EB"/>
          </w:tcPr>
          <w:p>
            <w:pPr>
              <w:spacing w:after="0"/>
            </w:pPr>
            <w:r>
              <w:rPr>
                <w:b/>
              </w:rPr>
              <w:t>Version</w:t>
            </w:r>
          </w:p>
        </w:tc>
        <w:tc>
          <w:tcPr>
            <w:tcW w:type="dxa" w:w="6690"/>
            <w:tcMar>
              <w:top w:w="80" w:type="dxa"/>
              <w:start w:w="110" w:type="dxa"/>
              <w:bottom w:w="80" w:type="dxa"/>
              <w:end w:w="110" w:type="dxa"/>
            </w:tcMar>
            <w:vAlign w:val="center"/>
            <w:shd w:fill="F9FAFB"/>
          </w:tcPr>
          <w:p>
            <w:pPr>
              <w:spacing w:after="0"/>
            </w:pPr>
            <w:r>
              <w:t>v1</w:t>
            </w:r>
          </w:p>
        </w:tc>
      </w:tr>
      <w:tr>
        <w:tc>
          <w:tcPr>
            <w:tcW w:type="dxa" w:w="2381"/>
            <w:tcMar>
              <w:top w:w="80" w:type="dxa"/>
              <w:start w:w="110" w:type="dxa"/>
              <w:bottom w:w="80" w:type="dxa"/>
              <w:end w:w="110" w:type="dxa"/>
            </w:tcMar>
            <w:vAlign w:val="center"/>
            <w:shd w:fill="E5E7EB"/>
          </w:tcPr>
          <w:p>
            <w:pPr>
              <w:spacing w:after="0"/>
            </w:pPr>
            <w:r>
              <w:rPr>
                <w:b/>
              </w:rPr>
              <w:t>Basis</w:t>
            </w:r>
          </w:p>
        </w:tc>
        <w:tc>
          <w:tcPr>
            <w:tcW w:type="dxa" w:w="6690"/>
            <w:tcMar>
              <w:top w:w="80" w:type="dxa"/>
              <w:start w:w="110" w:type="dxa"/>
              <w:bottom w:w="80" w:type="dxa"/>
              <w:end w:w="110" w:type="dxa"/>
            </w:tcMar>
            <w:vAlign w:val="center"/>
            <w:shd w:fill="F9FAFB"/>
          </w:tcPr>
          <w:p>
            <w:pPr>
              <w:spacing w:after="0"/>
            </w:pPr>
            <w:r>
              <w:t>Current master_policy.yaml and current HTML admin / naming tools</w:t>
            </w:r>
          </w:p>
        </w:tc>
      </w:tr>
      <w:tr>
        <w:tc>
          <w:tcPr>
            <w:tcW w:type="dxa" w:w="2381"/>
            <w:tcMar>
              <w:top w:w="80" w:type="dxa"/>
              <w:start w:w="110" w:type="dxa"/>
              <w:bottom w:w="80" w:type="dxa"/>
              <w:end w:w="110" w:type="dxa"/>
            </w:tcMar>
            <w:vAlign w:val="center"/>
            <w:shd w:fill="E5E7EB"/>
          </w:tcPr>
          <w:p>
            <w:pPr>
              <w:spacing w:after="0"/>
            </w:pPr>
            <w:r>
              <w:rPr>
                <w:b/>
              </w:rPr>
              <w:t>Audience</w:t>
            </w:r>
          </w:p>
        </w:tc>
        <w:tc>
          <w:tcPr>
            <w:tcW w:type="dxa" w:w="6690"/>
            <w:tcMar>
              <w:top w:w="80" w:type="dxa"/>
              <w:start w:w="110" w:type="dxa"/>
              <w:bottom w:w="80" w:type="dxa"/>
              <w:end w:w="110" w:type="dxa"/>
            </w:tcMar>
            <w:vAlign w:val="center"/>
            <w:shd w:fill="F9FAFB"/>
          </w:tcPr>
          <w:p>
            <w:pPr>
              <w:spacing w:after="0"/>
            </w:pPr>
            <w:r>
              <w:t>Project managers, technical staff, finance/admin staff, document controllers</w:t>
            </w:r>
          </w:p>
        </w:tc>
      </w:tr>
      <w:tr>
        <w:tc>
          <w:tcPr>
            <w:tcW w:type="dxa" w:w="2381"/>
            <w:tcMar>
              <w:top w:w="80" w:type="dxa"/>
              <w:start w:w="110" w:type="dxa"/>
              <w:bottom w:w="80" w:type="dxa"/>
              <w:end w:w="110" w:type="dxa"/>
            </w:tcMar>
            <w:vAlign w:val="center"/>
            <w:shd w:fill="E5E7EB"/>
          </w:tcPr>
          <w:p>
            <w:pPr>
              <w:spacing w:after="0"/>
            </w:pPr>
            <w:r>
              <w:rPr>
                <w:b/>
              </w:rPr>
              <w:t>Purpose</w:t>
            </w:r>
          </w:p>
        </w:tc>
        <w:tc>
          <w:tcPr>
            <w:tcW w:type="dxa" w:w="6690"/>
            <w:tcMar>
              <w:top w:w="80" w:type="dxa"/>
              <w:start w:w="110" w:type="dxa"/>
              <w:bottom w:w="80" w:type="dxa"/>
              <w:end w:w="110" w:type="dxa"/>
            </w:tcMar>
            <w:vAlign w:val="center"/>
            <w:shd w:fill="F9FAFB"/>
          </w:tcPr>
          <w:p>
            <w:pPr>
              <w:spacing w:after="0"/>
            </w:pPr>
            <w:r>
              <w:t>Apply one consistent filing method and use the two browser tools correctly</w:t>
            </w:r>
          </w:p>
        </w:tc>
      </w:tr>
    </w:tbl>
    <w:p/>
    <w:tbl>
      <w:tblPr>
        <w:tblW w:type="auto" w:w="0"/>
        <w:jc w:val="left"/>
        <w:tblLook w:firstColumn="1" w:firstRow="1" w:lastColumn="0" w:lastRow="0" w:noHBand="0" w:noVBand="1" w:val="04A0"/>
      </w:tblPr>
      <w:tblGrid>
        <w:gridCol w:w="9859"/>
      </w:tblGrid>
      <w:tr>
        <w:tc>
          <w:tcPr>
            <w:tcW w:type="dxa" w:w="9859"/>
            <w:shd w:fill="EEF2FF"/>
            <w:tcMar>
              <w:top w:w="120" w:type="dxa"/>
              <w:start w:w="140" w:type="dxa"/>
              <w:bottom w:w="120" w:type="dxa"/>
              <w:end w:w="140" w:type="dxa"/>
            </w:tcMar>
          </w:tcPr>
          <w:p/>
          <w:p>
            <w:r>
              <w:rPr>
                <w:b/>
                <w:i w:val="0"/>
                <w:color w:val="3730A3"/>
                <w:sz w:val="23"/>
              </w:rPr>
              <w:t>Quick principle</w:t>
            </w:r>
          </w:p>
          <w:p>
            <w:r>
              <w:rPr>
                <w:b w:val="0"/>
                <w:i w:val="0"/>
                <w:color w:val="312E81"/>
              </w:rPr>
              <w:t>The system is workstream-first. Company and asset identity are standardized once, source documents stay in their canonical folders, and the two browser tools help users maintain masters and generate the correct filename and target folder.</w:t>
            </w:r>
          </w:p>
        </w:tc>
      </w:tr>
    </w:tbl>
    <w:p>
      <w:r>
        <w:br w:type="page"/>
      </w:r>
    </w:p>
    <w:p>
      <w:pPr>
        <w:pStyle w:val="Heading1"/>
      </w:pPr>
      <w:r>
        <w:t>1. What this manual covers</w:t>
      </w:r>
    </w:p>
    <w:p>
      <w:r>
        <w:rPr>
          <w:b w:val="0"/>
          <w:i w:val="0"/>
        </w:rPr>
        <w:t>This manual explains how SCH should use the file-system policy in daily work, how to maintain company and asset master data, and how to generate canonical file names and target folders before filing. It is written as an operating manual rather than a software manual.</w:t>
      </w:r>
    </w:p>
    <w:p>
      <w:pPr>
        <w:pStyle w:val="ListBullet"/>
      </w:pPr>
      <w:r>
        <w:t>What the file system is trying to achieve</w:t>
      </w:r>
    </w:p>
    <w:p>
      <w:pPr>
        <w:pStyle w:val="ListBullet"/>
      </w:pPr>
      <w:r>
        <w:t>How to read and apply the naming system</w:t>
      </w:r>
    </w:p>
    <w:p>
      <w:pPr>
        <w:pStyle w:val="ListBullet"/>
      </w:pPr>
      <w:r>
        <w:t>How to use Company &amp; Asset Admin</w:t>
      </w:r>
    </w:p>
    <w:p>
      <w:pPr>
        <w:pStyle w:val="ListBullet"/>
      </w:pPr>
      <w:r>
        <w:t>How to use SCH File Naming Assistant</w:t>
      </w:r>
    </w:p>
    <w:p>
      <w:pPr>
        <w:pStyle w:val="ListBullet"/>
      </w:pPr>
      <w:r>
        <w:t>How submission case files should work in practice</w:t>
      </w:r>
    </w:p>
    <w:p>
      <w:pPr>
        <w:pStyle w:val="ListBullet"/>
      </w:pPr>
      <w:r>
        <w:t>Applied examples at the end</w:t>
      </w:r>
    </w:p>
    <w:p>
      <w:pPr>
        <w:pStyle w:val="Heading1"/>
      </w:pPr>
      <w:r>
        <w:t>2. The operating model in one page</w:t>
      </w:r>
    </w:p>
    <w:p>
      <w:pPr>
        <w:pStyle w:val="ListNumber"/>
      </w:pPr>
      <w:r>
        <w:t>Create or maintain the company record in Company &amp; Asset Admin.</w:t>
      </w:r>
    </w:p>
    <w:p>
      <w:pPr>
        <w:pStyle w:val="ListNumber"/>
      </w:pPr>
      <w:r>
        <w:t>Create or maintain the asset record in Company &amp; Asset Admin.</w:t>
      </w:r>
    </w:p>
    <w:p>
      <w:pPr>
        <w:pStyle w:val="ListNumber"/>
      </w:pPr>
      <w:r>
        <w:t>Use SCH File Naming Assistant when you are about to file a document.</w:t>
      </w:r>
    </w:p>
    <w:p>
      <w:pPr>
        <w:pStyle w:val="ListNumber"/>
      </w:pPr>
      <w:r>
        <w:t>Choose the asset, workstream, phase, and document type.</w:t>
      </w:r>
    </w:p>
    <w:p>
      <w:pPr>
        <w:pStyle w:val="ListNumber"/>
      </w:pPr>
      <w:r>
        <w:t>Let the assistant generate the canonical filename and target folder.</w:t>
      </w:r>
    </w:p>
    <w:p>
      <w:pPr>
        <w:pStyle w:val="ListNumber"/>
      </w:pPr>
      <w:r>
        <w:t>Store the source document in its canonical folder.</w:t>
      </w:r>
    </w:p>
    <w:p>
      <w:pPr>
        <w:pStyle w:val="ListNumber"/>
      </w:pPr>
      <w:r>
        <w:t>Use 99_EXPORTS only as a temporary outbox for sendable copies, not as final storage.</w:t>
      </w:r>
    </w:p>
    <w:p>
      <w:pPr>
        <w:pStyle w:val="ListNumber"/>
      </w:pPr>
      <w:r>
        <w:t>Keep submissions, responses, and receipts in the case folder for permitting; keep final issued permits in the permits/licenses folder.</w:t>
      </w:r>
    </w:p>
    <w:p>
      <w:pPr>
        <w:pStyle w:val="Heading1"/>
      </w:pPr>
      <w:r>
        <w:t>3. Core naming and structure rules</w:t>
      </w:r>
    </w:p>
    <w:p>
      <w:r>
        <w:rPr>
          <w:b w:val="0"/>
          <w:i w:val="0"/>
        </w:rPr>
        <w:t>The master policy uses four core patterns.</w:t>
      </w:r>
    </w:p>
    <w:tbl>
      <w:tblPr>
        <w:tblStyle w:val="TableGrid"/>
        <w:tblW w:type="auto" w:w="0"/>
        <w:jc w:val="left"/>
        <w:tblLook w:firstColumn="1" w:firstRow="1" w:lastColumn="0" w:lastRow="0" w:noHBand="0" w:noVBand="1" w:val="04A0"/>
      </w:tblPr>
      <w:tblGrid>
        <w:gridCol w:w="4929"/>
        <w:gridCol w:w="4929"/>
      </w:tblGrid>
      <w:tr>
        <w:tc>
          <w:tcPr>
            <w:tcW w:type="dxa" w:w="4929"/>
            <w:shd w:fill="E5E7EB"/>
            <w:tcMar>
              <w:top w:w="80" w:type="dxa"/>
              <w:start w:w="110" w:type="dxa"/>
              <w:bottom w:w="80" w:type="dxa"/>
              <w:end w:w="110" w:type="dxa"/>
            </w:tcMar>
          </w:tcPr>
          <w:p>
            <w:r>
              <w:rPr>
                <w:b/>
              </w:rPr>
              <w:t>Item</w:t>
            </w:r>
          </w:p>
        </w:tc>
        <w:tc>
          <w:tcPr>
            <w:tcW w:type="dxa" w:w="4929"/>
            <w:shd w:fill="E5E7EB"/>
            <w:tcMar>
              <w:top w:w="80" w:type="dxa"/>
              <w:start w:w="110" w:type="dxa"/>
              <w:bottom w:w="80" w:type="dxa"/>
              <w:end w:w="110" w:type="dxa"/>
            </w:tcMar>
          </w:tcPr>
          <w:p>
            <w:r>
              <w:rPr>
                <w:b/>
              </w:rPr>
              <w:t>Pattern / meaning</w:t>
            </w:r>
          </w:p>
        </w:tc>
      </w:tr>
      <w:tr>
        <w:tc>
          <w:tcPr>
            <w:tcW w:type="dxa" w:w="4929"/>
            <w:tcMar>
              <w:top w:w="80" w:type="dxa"/>
              <w:start w:w="110" w:type="dxa"/>
              <w:bottom w:w="80" w:type="dxa"/>
              <w:end w:w="110" w:type="dxa"/>
            </w:tcMar>
          </w:tcPr>
          <w:p>
            <w:r>
              <w:t>Company folder</w:t>
            </w:r>
          </w:p>
        </w:tc>
        <w:tc>
          <w:tcPr>
            <w:tcW w:type="dxa" w:w="4929"/>
            <w:tcMar>
              <w:top w:w="80" w:type="dxa"/>
              <w:start w:w="110" w:type="dxa"/>
              <w:bottom w:w="80" w:type="dxa"/>
              <w:end w:w="110" w:type="dxa"/>
            </w:tcMar>
          </w:tcPr>
          <w:p>
            <w:r>
              <w:t>{NAMECODE}-{TYP3}-{VAT9}</w:t>
            </w:r>
          </w:p>
        </w:tc>
      </w:tr>
      <w:tr>
        <w:tc>
          <w:tcPr>
            <w:tcW w:type="dxa" w:w="4929"/>
            <w:tcMar>
              <w:top w:w="80" w:type="dxa"/>
              <w:start w:w="110" w:type="dxa"/>
              <w:bottom w:w="80" w:type="dxa"/>
              <w:end w:w="110" w:type="dxa"/>
            </w:tcMar>
          </w:tcPr>
          <w:p>
            <w:r>
              <w:t>Asset folder</w:t>
            </w:r>
          </w:p>
        </w:tc>
        <w:tc>
          <w:tcPr>
            <w:tcW w:type="dxa" w:w="4929"/>
            <w:tcMar>
              <w:top w:w="80" w:type="dxa"/>
              <w:start w:w="110" w:type="dxa"/>
              <w:bottom w:w="80" w:type="dxa"/>
              <w:end w:w="110" w:type="dxa"/>
            </w:tcMar>
          </w:tcPr>
          <w:p>
            <w:r>
              <w:t>{TYPEID}_{PROJECT_NAME}_{LOCATION}</w:t>
            </w:r>
          </w:p>
        </w:tc>
      </w:tr>
      <w:tr>
        <w:tc>
          <w:tcPr>
            <w:tcW w:type="dxa" w:w="4929"/>
            <w:tcMar>
              <w:top w:w="80" w:type="dxa"/>
              <w:start w:w="110" w:type="dxa"/>
              <w:bottom w:w="80" w:type="dxa"/>
              <w:end w:w="110" w:type="dxa"/>
            </w:tcMar>
          </w:tcPr>
          <w:p>
            <w:r>
              <w:t>TYPEID</w:t>
            </w:r>
          </w:p>
        </w:tc>
        <w:tc>
          <w:tcPr>
            <w:tcW w:type="dxa" w:w="4929"/>
            <w:tcMar>
              <w:top w:w="80" w:type="dxa"/>
              <w:start w:w="110" w:type="dxa"/>
              <w:bottom w:w="80" w:type="dxa"/>
              <w:end w:w="110" w:type="dxa"/>
            </w:tcMar>
          </w:tcPr>
          <w:p>
            <w:r>
              <w:t>{TYPE}{METRIC}-{SS}</w:t>
            </w:r>
          </w:p>
        </w:tc>
      </w:tr>
      <w:tr>
        <w:tc>
          <w:tcPr>
            <w:tcW w:type="dxa" w:w="4929"/>
            <w:tcMar>
              <w:top w:w="80" w:type="dxa"/>
              <w:start w:w="110" w:type="dxa"/>
              <w:bottom w:w="80" w:type="dxa"/>
              <w:end w:w="110" w:type="dxa"/>
            </w:tcMar>
          </w:tcPr>
          <w:p>
            <w:r>
              <w:t>Internal filename</w:t>
            </w:r>
          </w:p>
        </w:tc>
        <w:tc>
          <w:tcPr>
            <w:tcW w:type="dxa" w:w="4929"/>
            <w:tcMar>
              <w:top w:w="80" w:type="dxa"/>
              <w:start w:w="110" w:type="dxa"/>
              <w:bottom w:w="80" w:type="dxa"/>
              <w:end w:w="110" w:type="dxa"/>
            </w:tcMar>
          </w:tcPr>
          <w:p>
            <w:r>
              <w:t>{TYPEID}_{PHASE}_{DOCTYPE}_{DESCRIPTION}_{DATE}_{VERSION}_{STATUS}.{EXT}</w:t>
            </w:r>
          </w:p>
        </w:tc>
      </w:tr>
    </w:tbl>
    <w:p>
      <w:r>
        <w:rPr>
          <w:b w:val="0"/>
          <w:i w:val="0"/>
        </w:rPr>
        <w:t>Interpretation:</w:t>
      </w:r>
    </w:p>
    <w:p>
      <w:pPr>
        <w:pStyle w:val="ListBullet"/>
      </w:pPr>
      <w:r>
        <w:t>A company is represented once at the top level.</w:t>
      </w:r>
    </w:p>
    <w:p>
      <w:pPr>
        <w:pStyle w:val="ListBullet"/>
      </w:pPr>
      <w:r>
        <w:t>Each active project/asset sits under that company in ASSETS.</w:t>
      </w:r>
    </w:p>
    <w:p>
      <w:pPr>
        <w:pStyle w:val="ListBullet"/>
      </w:pPr>
      <w:r>
        <w:t>Each file carries lifecycle context in the filename through PHASE.</w:t>
      </w:r>
    </w:p>
    <w:p>
      <w:pPr>
        <w:pStyle w:val="ListBullet"/>
      </w:pPr>
      <w:r>
        <w:t>DESCRIPTION is standardized and should not be free-form chaos.</w:t>
      </w:r>
    </w:p>
    <w:p>
      <w:pPr>
        <w:pStyle w:val="ListBullet"/>
      </w:pPr>
      <w:r>
        <w:t>For FIN and CNT, the counterparty becomes the start of DESCRIPTION.</w:t>
      </w:r>
    </w:p>
    <w:p>
      <w:pPr>
        <w:pStyle w:val="Heading1"/>
      </w:pPr>
      <w:r>
        <w:t>4. Path limits and design constraints</w:t>
      </w:r>
    </w:p>
    <w:p>
      <w:r>
        <w:rPr>
          <w:b w:val="0"/>
          <w:i w:val="0"/>
        </w:rPr>
        <w:t>The policy includes hard limits so the system remains usable on Windows and on shared storage.</w:t>
      </w:r>
    </w:p>
    <w:tbl>
      <w:tblPr>
        <w:tblW w:type="auto" w:w="0"/>
        <w:jc w:val="left"/>
        <w:tblLook w:firstColumn="1" w:firstRow="1" w:lastColumn="0" w:lastRow="0" w:noHBand="0" w:noVBand="1" w:val="04A0"/>
      </w:tblPr>
      <w:tblGrid>
        <w:gridCol w:w="4929"/>
        <w:gridCol w:w="4929"/>
      </w:tblGrid>
      <w:tr>
        <w:tc>
          <w:tcPr>
            <w:tcW w:type="dxa" w:w="4929"/>
            <w:shd w:fill="E5E7EB"/>
            <w:tcMar>
              <w:top w:w="80" w:type="dxa"/>
              <w:start w:w="110" w:type="dxa"/>
              <w:bottom w:w="80" w:type="dxa"/>
              <w:end w:w="110" w:type="dxa"/>
            </w:tcMar>
          </w:tcPr>
          <w:p>
            <w:r>
              <w:rPr>
                <w:b/>
              </w:rPr>
              <w:t>Constraint</w:t>
            </w:r>
          </w:p>
        </w:tc>
        <w:tc>
          <w:tcPr>
            <w:tcW w:type="dxa" w:w="4929"/>
            <w:shd w:fill="E5E7EB"/>
            <w:tcMar>
              <w:top w:w="80" w:type="dxa"/>
              <w:start w:w="110" w:type="dxa"/>
              <w:bottom w:w="80" w:type="dxa"/>
              <w:end w:w="110" w:type="dxa"/>
            </w:tcMar>
          </w:tcPr>
          <w:p>
            <w:r>
              <w:rPr>
                <w:b/>
              </w:rPr>
              <w:t>Limit</w:t>
            </w:r>
          </w:p>
        </w:tc>
      </w:tr>
      <w:tr>
        <w:tc>
          <w:tcPr>
            <w:tcW w:type="dxa" w:w="4929"/>
            <w:tcMar>
              <w:top w:w="80" w:type="dxa"/>
              <w:start w:w="110" w:type="dxa"/>
              <w:bottom w:w="80" w:type="dxa"/>
              <w:end w:w="110" w:type="dxa"/>
            </w:tcMar>
          </w:tcPr>
          <w:p>
            <w:r>
              <w:t>Max full path</w:t>
            </w:r>
          </w:p>
        </w:tc>
        <w:tc>
          <w:tcPr>
            <w:tcW w:type="dxa" w:w="4929"/>
            <w:tcMar>
              <w:top w:w="80" w:type="dxa"/>
              <w:start w:w="110" w:type="dxa"/>
              <w:bottom w:w="80" w:type="dxa"/>
              <w:end w:w="110" w:type="dxa"/>
            </w:tcMar>
          </w:tcPr>
          <w:p>
            <w:r>
              <w:t>240</w:t>
            </w:r>
          </w:p>
        </w:tc>
      </w:tr>
      <w:tr>
        <w:tc>
          <w:tcPr>
            <w:tcW w:type="dxa" w:w="4929"/>
            <w:tcMar>
              <w:top w:w="80" w:type="dxa"/>
              <w:start w:w="110" w:type="dxa"/>
              <w:bottom w:w="80" w:type="dxa"/>
              <w:end w:w="110" w:type="dxa"/>
            </w:tcMar>
          </w:tcPr>
          <w:p>
            <w:r>
              <w:t>Max filename</w:t>
            </w:r>
          </w:p>
        </w:tc>
        <w:tc>
          <w:tcPr>
            <w:tcW w:type="dxa" w:w="4929"/>
            <w:tcMar>
              <w:top w:w="80" w:type="dxa"/>
              <w:start w:w="110" w:type="dxa"/>
              <w:bottom w:w="80" w:type="dxa"/>
              <w:end w:w="110" w:type="dxa"/>
            </w:tcMar>
          </w:tcPr>
          <w:p>
            <w:r>
              <w:t>120</w:t>
            </w:r>
          </w:p>
        </w:tc>
      </w:tr>
      <w:tr>
        <w:tc>
          <w:tcPr>
            <w:tcW w:type="dxa" w:w="4929"/>
            <w:tcMar>
              <w:top w:w="80" w:type="dxa"/>
              <w:start w:w="110" w:type="dxa"/>
              <w:bottom w:w="80" w:type="dxa"/>
              <w:end w:w="110" w:type="dxa"/>
            </w:tcMar>
          </w:tcPr>
          <w:p>
            <w:r>
              <w:t>Max folder name</w:t>
            </w:r>
          </w:p>
        </w:tc>
        <w:tc>
          <w:tcPr>
            <w:tcW w:type="dxa" w:w="4929"/>
            <w:tcMar>
              <w:top w:w="80" w:type="dxa"/>
              <w:start w:w="110" w:type="dxa"/>
              <w:bottom w:w="80" w:type="dxa"/>
              <w:end w:w="110" w:type="dxa"/>
            </w:tcMar>
          </w:tcPr>
          <w:p>
            <w:r>
              <w:t>64</w:t>
            </w:r>
          </w:p>
        </w:tc>
      </w:tr>
      <w:tr>
        <w:tc>
          <w:tcPr>
            <w:tcW w:type="dxa" w:w="4929"/>
            <w:tcMar>
              <w:top w:w="80" w:type="dxa"/>
              <w:start w:w="110" w:type="dxa"/>
              <w:bottom w:w="80" w:type="dxa"/>
              <w:end w:w="110" w:type="dxa"/>
            </w:tcMar>
          </w:tcPr>
          <w:p>
            <w:r>
              <w:t>Max depth segments</w:t>
            </w:r>
          </w:p>
        </w:tc>
        <w:tc>
          <w:tcPr>
            <w:tcW w:type="dxa" w:w="4929"/>
            <w:tcMar>
              <w:top w:w="80" w:type="dxa"/>
              <w:start w:w="110" w:type="dxa"/>
              <w:bottom w:w="80" w:type="dxa"/>
              <w:end w:w="110" w:type="dxa"/>
            </w:tcMar>
          </w:tcPr>
          <w:p>
            <w:r>
              <w:t>12</w:t>
            </w:r>
          </w:p>
        </w:tc>
      </w:tr>
    </w:tbl>
    <w:p>
      <w:r>
        <w:rPr>
          <w:b w:val="0"/>
          <w:i w:val="0"/>
        </w:rPr>
        <w:t>Operational implication: when a path gets too long, shorten DESCRIPTION first, not the structural meaning of the folder tree.</w:t>
      </w:r>
    </w:p>
    <w:p>
      <w:pPr>
        <w:pStyle w:val="Heading1"/>
      </w:pPr>
      <w:r>
        <w:t>5. Folder structure and how to think about it</w:t>
      </w:r>
    </w:p>
    <w:p>
      <w:r>
        <w:rPr>
          <w:b w:val="0"/>
          <w:i w:val="0"/>
        </w:rPr>
        <w:t>Every asset folder is structured by workstream. This is the most important concept in the system.</w:t>
      </w:r>
    </w:p>
    <w:tbl>
      <w:tblPr>
        <w:tblW w:type="auto" w:w="0"/>
        <w:jc w:val="left"/>
        <w:tblLook w:firstColumn="1" w:firstRow="1" w:lastColumn="0" w:lastRow="0" w:noHBand="0" w:noVBand="1" w:val="04A0"/>
      </w:tblPr>
      <w:tblGrid>
        <w:gridCol w:w="3286"/>
        <w:gridCol w:w="3286"/>
        <w:gridCol w:w="3286"/>
      </w:tblGrid>
      <w:tr>
        <w:tc>
          <w:tcPr>
            <w:tcW w:type="dxa" w:w="3286"/>
            <w:shd w:fill="E5E7EB"/>
            <w:tcMar>
              <w:top w:w="80" w:type="dxa"/>
              <w:start w:w="110" w:type="dxa"/>
              <w:bottom w:w="80" w:type="dxa"/>
              <w:end w:w="110" w:type="dxa"/>
            </w:tcMar>
          </w:tcPr>
          <w:p>
            <w:r>
              <w:rPr>
                <w:b/>
              </w:rPr>
              <w:t>Code</w:t>
            </w:r>
          </w:p>
        </w:tc>
        <w:tc>
          <w:tcPr>
            <w:tcW w:type="dxa" w:w="3286"/>
            <w:shd w:fill="E5E7EB"/>
            <w:tcMar>
              <w:top w:w="80" w:type="dxa"/>
              <w:start w:w="110" w:type="dxa"/>
              <w:bottom w:w="80" w:type="dxa"/>
              <w:end w:w="110" w:type="dxa"/>
            </w:tcMar>
          </w:tcPr>
          <w:p>
            <w:r>
              <w:rPr>
                <w:b/>
              </w:rPr>
              <w:t>Main folder</w:t>
            </w:r>
          </w:p>
        </w:tc>
        <w:tc>
          <w:tcPr>
            <w:tcW w:type="dxa" w:w="3286"/>
            <w:shd w:fill="E5E7EB"/>
            <w:tcMar>
              <w:top w:w="80" w:type="dxa"/>
              <w:start w:w="110" w:type="dxa"/>
              <w:bottom w:w="80" w:type="dxa"/>
              <w:end w:w="110" w:type="dxa"/>
            </w:tcMar>
          </w:tcPr>
          <w:p>
            <w:r>
              <w:rPr>
                <w:b/>
              </w:rPr>
              <w:t>What it is for</w:t>
            </w:r>
          </w:p>
        </w:tc>
      </w:tr>
      <w:tr>
        <w:tc>
          <w:tcPr>
            <w:tcW w:type="dxa" w:w="3286"/>
            <w:tcMar>
              <w:top w:w="80" w:type="dxa"/>
              <w:start w:w="110" w:type="dxa"/>
              <w:bottom w:w="80" w:type="dxa"/>
              <w:end w:w="110" w:type="dxa"/>
            </w:tcMar>
            <w:vAlign w:val="center"/>
          </w:tcPr>
          <w:p>
            <w:r>
              <w:t>AM</w:t>
            </w:r>
          </w:p>
        </w:tc>
        <w:tc>
          <w:tcPr>
            <w:tcW w:type="dxa" w:w="3286"/>
            <w:tcMar>
              <w:top w:w="80" w:type="dxa"/>
              <w:start w:w="110" w:type="dxa"/>
              <w:bottom w:w="80" w:type="dxa"/>
              <w:end w:w="110" w:type="dxa"/>
            </w:tcMar>
            <w:vAlign w:val="center"/>
          </w:tcPr>
          <w:p>
            <w:r>
              <w:t>00_ASSET_MASTER</w:t>
            </w:r>
          </w:p>
        </w:tc>
        <w:tc>
          <w:tcPr>
            <w:tcW w:type="dxa" w:w="3286"/>
            <w:tcMar>
              <w:top w:w="80" w:type="dxa"/>
              <w:start w:w="110" w:type="dxa"/>
              <w:bottom w:w="80" w:type="dxa"/>
              <w:end w:w="110" w:type="dxa"/>
            </w:tcMar>
            <w:vAlign w:val="center"/>
          </w:tcPr>
          <w:p>
            <w:r>
              <w:t>Core asset identity, reference data, status snapshots.</w:t>
            </w:r>
          </w:p>
        </w:tc>
      </w:tr>
      <w:tr>
        <w:tc>
          <w:tcPr>
            <w:tcW w:type="dxa" w:w="3286"/>
            <w:tcMar>
              <w:top w:w="80" w:type="dxa"/>
              <w:start w:w="110" w:type="dxa"/>
              <w:bottom w:w="80" w:type="dxa"/>
              <w:end w:w="110" w:type="dxa"/>
            </w:tcMar>
            <w:vAlign w:val="center"/>
          </w:tcPr>
          <w:p>
            <w:r>
              <w:t>PCD</w:t>
            </w:r>
          </w:p>
        </w:tc>
        <w:tc>
          <w:tcPr>
            <w:tcW w:type="dxa" w:w="3286"/>
            <w:tcMar>
              <w:top w:w="80" w:type="dxa"/>
              <w:start w:w="110" w:type="dxa"/>
              <w:bottom w:w="80" w:type="dxa"/>
              <w:end w:w="110" w:type="dxa"/>
            </w:tcMar>
            <w:vAlign w:val="center"/>
          </w:tcPr>
          <w:p>
            <w:r>
              <w:t>01_DEVELOPMENT</w:t>
            </w:r>
          </w:p>
        </w:tc>
        <w:tc>
          <w:tcPr>
            <w:tcW w:type="dxa" w:w="3286"/>
            <w:tcMar>
              <w:top w:w="80" w:type="dxa"/>
              <w:start w:w="110" w:type="dxa"/>
              <w:bottom w:w="80" w:type="dxa"/>
              <w:end w:w="110" w:type="dxa"/>
            </w:tcMar>
            <w:vAlign w:val="center"/>
          </w:tcPr>
          <w:p>
            <w:r>
              <w:t>Programme, WBS, progress, meetings, control records.</w:t>
            </w:r>
          </w:p>
        </w:tc>
      </w:tr>
      <w:tr>
        <w:tc>
          <w:tcPr>
            <w:tcW w:type="dxa" w:w="3286"/>
            <w:tcMar>
              <w:top w:w="80" w:type="dxa"/>
              <w:start w:w="110" w:type="dxa"/>
              <w:bottom w:w="80" w:type="dxa"/>
              <w:end w:w="110" w:type="dxa"/>
            </w:tcMar>
            <w:vAlign w:val="center"/>
          </w:tcPr>
          <w:p>
            <w:r>
              <w:t>LS</w:t>
            </w:r>
          </w:p>
        </w:tc>
        <w:tc>
          <w:tcPr>
            <w:tcW w:type="dxa" w:w="3286"/>
            <w:tcMar>
              <w:top w:w="80" w:type="dxa"/>
              <w:start w:w="110" w:type="dxa"/>
              <w:bottom w:w="80" w:type="dxa"/>
              <w:end w:w="110" w:type="dxa"/>
            </w:tcMar>
            <w:vAlign w:val="center"/>
          </w:tcPr>
          <w:p>
            <w:r>
              <w:t>02_LAND_SITE</w:t>
            </w:r>
          </w:p>
        </w:tc>
        <w:tc>
          <w:tcPr>
            <w:tcW w:type="dxa" w:w="3286"/>
            <w:tcMar>
              <w:top w:w="80" w:type="dxa"/>
              <w:start w:w="110" w:type="dxa"/>
              <w:bottom w:w="80" w:type="dxa"/>
              <w:end w:w="110" w:type="dxa"/>
            </w:tcMar>
            <w:vAlign w:val="center"/>
          </w:tcPr>
          <w:p>
            <w:r>
              <w:t>Titles, surveys, land rights, site investigations, compensation/payments.</w:t>
            </w:r>
          </w:p>
        </w:tc>
      </w:tr>
      <w:tr>
        <w:tc>
          <w:tcPr>
            <w:tcW w:type="dxa" w:w="3286"/>
            <w:tcMar>
              <w:top w:w="80" w:type="dxa"/>
              <w:start w:w="110" w:type="dxa"/>
              <w:bottom w:w="80" w:type="dxa"/>
              <w:end w:w="110" w:type="dxa"/>
            </w:tcMar>
            <w:vAlign w:val="center"/>
          </w:tcPr>
          <w:p>
            <w:r>
              <w:t>PMT</w:t>
            </w:r>
          </w:p>
        </w:tc>
        <w:tc>
          <w:tcPr>
            <w:tcW w:type="dxa" w:w="3286"/>
            <w:tcMar>
              <w:top w:w="80" w:type="dxa"/>
              <w:start w:w="110" w:type="dxa"/>
              <w:bottom w:w="80" w:type="dxa"/>
              <w:end w:w="110" w:type="dxa"/>
            </w:tcMar>
            <w:vAlign w:val="center"/>
          </w:tcPr>
          <w:p>
            <w:r>
              <w:t>03_PERMITTING_APPROVALS</w:t>
            </w:r>
          </w:p>
        </w:tc>
        <w:tc>
          <w:tcPr>
            <w:tcW w:type="dxa" w:w="3286"/>
            <w:tcMar>
              <w:top w:w="80" w:type="dxa"/>
              <w:start w:w="110" w:type="dxa"/>
              <w:bottom w:w="80" w:type="dxa"/>
              <w:end w:w="110" w:type="dxa"/>
            </w:tcMar>
            <w:vAlign w:val="center"/>
          </w:tcPr>
          <w:p>
            <w:r>
              <w:t>Permits, submissions, responses, permit support and fees.</w:t>
            </w:r>
          </w:p>
        </w:tc>
      </w:tr>
      <w:tr>
        <w:tc>
          <w:tcPr>
            <w:tcW w:type="dxa" w:w="3286"/>
            <w:tcMar>
              <w:top w:w="80" w:type="dxa"/>
              <w:start w:w="110" w:type="dxa"/>
              <w:bottom w:w="80" w:type="dxa"/>
              <w:end w:w="110" w:type="dxa"/>
            </w:tcMar>
            <w:vAlign w:val="center"/>
          </w:tcPr>
          <w:p>
            <w:r>
              <w:t>TDE</w:t>
            </w:r>
          </w:p>
        </w:tc>
        <w:tc>
          <w:tcPr>
            <w:tcW w:type="dxa" w:w="3286"/>
            <w:tcMar>
              <w:top w:w="80" w:type="dxa"/>
              <w:start w:w="110" w:type="dxa"/>
              <w:bottom w:w="80" w:type="dxa"/>
              <w:end w:w="110" w:type="dxa"/>
            </w:tcMar>
            <w:vAlign w:val="center"/>
          </w:tcPr>
          <w:p>
            <w:r>
              <w:t>04_TECHNICAL_DESIGN</w:t>
            </w:r>
          </w:p>
        </w:tc>
        <w:tc>
          <w:tcPr>
            <w:tcW w:type="dxa" w:w="3286"/>
            <w:tcMar>
              <w:top w:w="80" w:type="dxa"/>
              <w:start w:w="110" w:type="dxa"/>
              <w:bottom w:w="80" w:type="dxa"/>
              <w:end w:w="110" w:type="dxa"/>
            </w:tcMar>
            <w:vAlign w:val="center"/>
          </w:tcPr>
          <w:p>
            <w:r>
              <w:t>Studies, drawings, calculations, design consultant records.</w:t>
            </w:r>
          </w:p>
        </w:tc>
      </w:tr>
      <w:tr>
        <w:tc>
          <w:tcPr>
            <w:tcW w:type="dxa" w:w="3286"/>
            <w:tcMar>
              <w:top w:w="80" w:type="dxa"/>
              <w:start w:w="110" w:type="dxa"/>
              <w:bottom w:w="80" w:type="dxa"/>
              <w:end w:w="110" w:type="dxa"/>
            </w:tcMar>
            <w:vAlign w:val="center"/>
          </w:tcPr>
          <w:p>
            <w:r>
              <w:t>PRC</w:t>
            </w:r>
          </w:p>
        </w:tc>
        <w:tc>
          <w:tcPr>
            <w:tcW w:type="dxa" w:w="3286"/>
            <w:tcMar>
              <w:top w:w="80" w:type="dxa"/>
              <w:start w:w="110" w:type="dxa"/>
              <w:bottom w:w="80" w:type="dxa"/>
              <w:end w:w="110" w:type="dxa"/>
            </w:tcMar>
            <w:vAlign w:val="center"/>
          </w:tcPr>
          <w:p>
            <w:r>
              <w:t>05_COMMERCIAL_PROCUREMENT</w:t>
            </w:r>
          </w:p>
        </w:tc>
        <w:tc>
          <w:tcPr>
            <w:tcW w:type="dxa" w:w="3286"/>
            <w:tcMar>
              <w:top w:w="80" w:type="dxa"/>
              <w:start w:w="110" w:type="dxa"/>
              <w:bottom w:w="80" w:type="dxa"/>
              <w:end w:w="110" w:type="dxa"/>
            </w:tcMar>
            <w:vAlign w:val="center"/>
          </w:tcPr>
          <w:p>
            <w:r>
              <w:t>RFQs, bids, supply contracts, deliveries and procurement payments.</w:t>
            </w:r>
          </w:p>
        </w:tc>
      </w:tr>
      <w:tr>
        <w:tc>
          <w:tcPr>
            <w:tcW w:type="dxa" w:w="3286"/>
            <w:tcMar>
              <w:top w:w="80" w:type="dxa"/>
              <w:start w:w="110" w:type="dxa"/>
              <w:bottom w:w="80" w:type="dxa"/>
              <w:end w:w="110" w:type="dxa"/>
            </w:tcMar>
            <w:vAlign w:val="center"/>
          </w:tcPr>
          <w:p>
            <w:r>
              <w:t>FNI</w:t>
            </w:r>
          </w:p>
        </w:tc>
        <w:tc>
          <w:tcPr>
            <w:tcW w:type="dxa" w:w="3286"/>
            <w:tcMar>
              <w:top w:w="80" w:type="dxa"/>
              <w:start w:w="110" w:type="dxa"/>
              <w:bottom w:w="80" w:type="dxa"/>
              <w:end w:w="110" w:type="dxa"/>
            </w:tcMar>
            <w:vAlign w:val="center"/>
          </w:tcPr>
          <w:p>
            <w:r>
              <w:t>06_FINANCE_INSURANCE</w:t>
            </w:r>
          </w:p>
        </w:tc>
        <w:tc>
          <w:tcPr>
            <w:tcW w:type="dxa" w:w="3286"/>
            <w:tcMar>
              <w:top w:w="80" w:type="dxa"/>
              <w:start w:w="110" w:type="dxa"/>
              <w:bottom w:w="80" w:type="dxa"/>
              <w:end w:w="110" w:type="dxa"/>
            </w:tcMar>
            <w:vAlign w:val="center"/>
          </w:tcPr>
          <w:p>
            <w:r>
              <w:t>Budgets, banking, insurance, payables, receivables and reporting.</w:t>
            </w:r>
          </w:p>
        </w:tc>
      </w:tr>
      <w:tr>
        <w:tc>
          <w:tcPr>
            <w:tcW w:type="dxa" w:w="3286"/>
            <w:tcMar>
              <w:top w:w="80" w:type="dxa"/>
              <w:start w:w="110" w:type="dxa"/>
              <w:bottom w:w="80" w:type="dxa"/>
              <w:end w:w="110" w:type="dxa"/>
            </w:tcMar>
            <w:vAlign w:val="center"/>
          </w:tcPr>
          <w:p>
            <w:r>
              <w:t>CND</w:t>
            </w:r>
          </w:p>
        </w:tc>
        <w:tc>
          <w:tcPr>
            <w:tcW w:type="dxa" w:w="3286"/>
            <w:tcMar>
              <w:top w:w="80" w:type="dxa"/>
              <w:start w:w="110" w:type="dxa"/>
              <w:bottom w:w="80" w:type="dxa"/>
              <w:end w:w="110" w:type="dxa"/>
            </w:tcMar>
            <w:vAlign w:val="center"/>
          </w:tcPr>
          <w:p>
            <w:r>
              <w:t>07_CONSTRUCTION_DELIVERY</w:t>
            </w:r>
          </w:p>
        </w:tc>
        <w:tc>
          <w:tcPr>
            <w:tcW w:type="dxa" w:w="3286"/>
            <w:tcMar>
              <w:top w:w="80" w:type="dxa"/>
              <w:start w:w="110" w:type="dxa"/>
              <w:bottom w:w="80" w:type="dxa"/>
              <w:end w:w="110" w:type="dxa"/>
            </w:tcMar>
            <w:vAlign w:val="center"/>
          </w:tcPr>
          <w:p>
            <w:r>
              <w:t>Construction drawings, site progress, quantities, QAQC/HSE, IPC and handover.</w:t>
            </w:r>
          </w:p>
        </w:tc>
      </w:tr>
      <w:tr>
        <w:tc>
          <w:tcPr>
            <w:tcW w:type="dxa" w:w="3286"/>
            <w:tcMar>
              <w:top w:w="80" w:type="dxa"/>
              <w:start w:w="110" w:type="dxa"/>
              <w:bottom w:w="80" w:type="dxa"/>
              <w:end w:w="110" w:type="dxa"/>
            </w:tcMar>
            <w:vAlign w:val="center"/>
          </w:tcPr>
          <w:p>
            <w:r>
              <w:t>OPM</w:t>
            </w:r>
          </w:p>
        </w:tc>
        <w:tc>
          <w:tcPr>
            <w:tcW w:type="dxa" w:w="3286"/>
            <w:tcMar>
              <w:top w:w="80" w:type="dxa"/>
              <w:start w:w="110" w:type="dxa"/>
              <w:bottom w:w="80" w:type="dxa"/>
              <w:end w:w="110" w:type="dxa"/>
            </w:tcMar>
            <w:vAlign w:val="center"/>
          </w:tcPr>
          <w:p>
            <w:r>
              <w:t>08_OPERATIONS_MAINTENANCE</w:t>
            </w:r>
          </w:p>
        </w:tc>
        <w:tc>
          <w:tcPr>
            <w:tcW w:type="dxa" w:w="3286"/>
            <w:tcMar>
              <w:top w:w="80" w:type="dxa"/>
              <w:start w:w="110" w:type="dxa"/>
              <w:bottom w:w="80" w:type="dxa"/>
              <w:end w:w="110" w:type="dxa"/>
            </w:tcMar>
            <w:vAlign w:val="center"/>
          </w:tcPr>
          <w:p>
            <w:r>
              <w:t>Operations documents, service contracts, operating payments and events.</w:t>
            </w:r>
          </w:p>
        </w:tc>
      </w:tr>
      <w:tr>
        <w:tc>
          <w:tcPr>
            <w:tcW w:type="dxa" w:w="3286"/>
            <w:tcMar>
              <w:top w:w="80" w:type="dxa"/>
              <w:start w:w="110" w:type="dxa"/>
              <w:bottom w:w="80" w:type="dxa"/>
              <w:end w:w="110" w:type="dxa"/>
            </w:tcMar>
            <w:vAlign w:val="center"/>
          </w:tcPr>
          <w:p>
            <w:r>
              <w:t>DCM</w:t>
            </w:r>
          </w:p>
        </w:tc>
        <w:tc>
          <w:tcPr>
            <w:tcW w:type="dxa" w:w="3286"/>
            <w:tcMar>
              <w:top w:w="80" w:type="dxa"/>
              <w:start w:w="110" w:type="dxa"/>
              <w:bottom w:w="80" w:type="dxa"/>
              <w:end w:w="110" w:type="dxa"/>
            </w:tcMar>
            <w:vAlign w:val="center"/>
          </w:tcPr>
          <w:p>
            <w:r>
              <w:t>09_DECOMMISSIONING</w:t>
            </w:r>
          </w:p>
        </w:tc>
        <w:tc>
          <w:tcPr>
            <w:tcW w:type="dxa" w:w="3286"/>
            <w:tcMar>
              <w:top w:w="80" w:type="dxa"/>
              <w:start w:w="110" w:type="dxa"/>
              <w:bottom w:w="80" w:type="dxa"/>
              <w:end w:w="110" w:type="dxa"/>
            </w:tcMar>
            <w:vAlign w:val="center"/>
          </w:tcPr>
          <w:p>
            <w:r>
              <w:t>Decommissioning studies, closing agreements, payments and disposal records.</w:t>
            </w:r>
          </w:p>
        </w:tc>
      </w:tr>
      <w:tr>
        <w:tc>
          <w:tcPr>
            <w:tcW w:type="dxa" w:w="3286"/>
            <w:tcMar>
              <w:top w:w="80" w:type="dxa"/>
              <w:start w:w="110" w:type="dxa"/>
              <w:bottom w:w="80" w:type="dxa"/>
              <w:end w:w="110" w:type="dxa"/>
            </w:tcMar>
            <w:vAlign w:val="center"/>
          </w:tcPr>
          <w:p>
            <w:r>
              <w:t>EXPORTS</w:t>
            </w:r>
          </w:p>
        </w:tc>
        <w:tc>
          <w:tcPr>
            <w:tcW w:type="dxa" w:w="3286"/>
            <w:tcMar>
              <w:top w:w="80" w:type="dxa"/>
              <w:start w:w="110" w:type="dxa"/>
              <w:bottom w:w="80" w:type="dxa"/>
              <w:end w:w="110" w:type="dxa"/>
            </w:tcMar>
            <w:vAlign w:val="center"/>
          </w:tcPr>
          <w:p>
            <w:r>
              <w:t>99_EXPORTS</w:t>
            </w:r>
          </w:p>
        </w:tc>
        <w:tc>
          <w:tcPr>
            <w:tcW w:type="dxa" w:w="3286"/>
            <w:tcMar>
              <w:top w:w="80" w:type="dxa"/>
              <w:start w:w="110" w:type="dxa"/>
              <w:bottom w:w="80" w:type="dxa"/>
              <w:end w:w="110" w:type="dxa"/>
            </w:tcMar>
            <w:vAlign w:val="center"/>
          </w:tcPr>
          <w:p>
            <w:r>
              <w:t>Temporary export packs only; not canonical storage.</w:t>
            </w:r>
          </w:p>
        </w:tc>
      </w:tr>
    </w:tbl>
    <w:p>
      <w:pPr>
        <w:pStyle w:val="Heading1"/>
      </w:pPr>
      <w:r>
        <w:t>6. Document types and routing logic</w:t>
      </w:r>
    </w:p>
    <w:p>
      <w:r>
        <w:rPr>
          <w:b w:val="0"/>
          <w:i w:val="0"/>
        </w:rPr>
        <w:t>The policy routes files by document type and context. In daily work, most users need only the practical interpretation below.</w:t>
      </w:r>
    </w:p>
    <w:tbl>
      <w:tblPr>
        <w:tblW w:type="auto" w:w="0"/>
        <w:jc w:val="left"/>
        <w:tblLook w:firstColumn="1" w:firstRow="1" w:lastColumn="0" w:lastRow="0" w:noHBand="0" w:noVBand="1" w:val="04A0"/>
      </w:tblPr>
      <w:tblGrid>
        <w:gridCol w:w="3286"/>
        <w:gridCol w:w="3286"/>
        <w:gridCol w:w="3286"/>
      </w:tblGrid>
      <w:tr>
        <w:tc>
          <w:tcPr>
            <w:tcW w:type="dxa" w:w="3286"/>
            <w:shd w:fill="E5E7EB"/>
            <w:tcMar>
              <w:top w:w="80" w:type="dxa"/>
              <w:start w:w="110" w:type="dxa"/>
              <w:bottom w:w="80" w:type="dxa"/>
              <w:end w:w="110" w:type="dxa"/>
            </w:tcMar>
          </w:tcPr>
          <w:p>
            <w:r>
              <w:rPr>
                <w:b/>
              </w:rPr>
              <w:t>Doc type</w:t>
            </w:r>
          </w:p>
        </w:tc>
        <w:tc>
          <w:tcPr>
            <w:tcW w:type="dxa" w:w="3286"/>
            <w:shd w:fill="E5E7EB"/>
            <w:tcMar>
              <w:top w:w="80" w:type="dxa"/>
              <w:start w:w="110" w:type="dxa"/>
              <w:bottom w:w="80" w:type="dxa"/>
              <w:end w:w="110" w:type="dxa"/>
            </w:tcMar>
          </w:tcPr>
          <w:p>
            <w:r>
              <w:rPr>
                <w:b/>
              </w:rPr>
              <w:t>When to use it</w:t>
            </w:r>
          </w:p>
        </w:tc>
        <w:tc>
          <w:tcPr>
            <w:tcW w:type="dxa" w:w="3286"/>
            <w:shd w:fill="E5E7EB"/>
            <w:tcMar>
              <w:top w:w="80" w:type="dxa"/>
              <w:start w:w="110" w:type="dxa"/>
              <w:bottom w:w="80" w:type="dxa"/>
              <w:end w:w="110" w:type="dxa"/>
            </w:tcMar>
          </w:tcPr>
          <w:p>
            <w:r>
              <w:rPr>
                <w:b/>
              </w:rPr>
              <w:t>Routing logic</w:t>
            </w:r>
          </w:p>
        </w:tc>
      </w:tr>
      <w:tr>
        <w:tc>
          <w:tcPr>
            <w:tcW w:type="dxa" w:w="3286"/>
            <w:tcMar>
              <w:top w:w="80" w:type="dxa"/>
              <w:start w:w="110" w:type="dxa"/>
              <w:bottom w:w="80" w:type="dxa"/>
              <w:end w:w="110" w:type="dxa"/>
            </w:tcMar>
          </w:tcPr>
          <w:p>
            <w:r>
              <w:t>PER</w:t>
            </w:r>
          </w:p>
        </w:tc>
        <w:tc>
          <w:tcPr>
            <w:tcW w:type="dxa" w:w="3286"/>
            <w:tcMar>
              <w:top w:w="80" w:type="dxa"/>
              <w:start w:w="110" w:type="dxa"/>
              <w:bottom w:w="80" w:type="dxa"/>
              <w:end w:w="110" w:type="dxa"/>
            </w:tcMar>
          </w:tcPr>
          <w:p>
            <w:r>
              <w:t>Issued permit, licence, approval</w:t>
            </w:r>
          </w:p>
        </w:tc>
        <w:tc>
          <w:tcPr>
            <w:tcW w:type="dxa" w:w="3286"/>
            <w:tcMar>
              <w:top w:w="80" w:type="dxa"/>
              <w:start w:w="110" w:type="dxa"/>
              <w:bottom w:w="80" w:type="dxa"/>
              <w:end w:w="110" w:type="dxa"/>
            </w:tcMar>
          </w:tcPr>
          <w:p>
            <w:r>
              <w:t>Fixed to Permits/Licenses in PMT</w:t>
            </w:r>
          </w:p>
        </w:tc>
      </w:tr>
      <w:tr>
        <w:tc>
          <w:tcPr>
            <w:tcW w:type="dxa" w:w="3286"/>
            <w:tcMar>
              <w:top w:w="80" w:type="dxa"/>
              <w:start w:w="110" w:type="dxa"/>
              <w:bottom w:w="80" w:type="dxa"/>
              <w:end w:w="110" w:type="dxa"/>
            </w:tcMar>
          </w:tcPr>
          <w:p>
            <w:r>
              <w:t>DRWTEC</w:t>
            </w:r>
          </w:p>
        </w:tc>
        <w:tc>
          <w:tcPr>
            <w:tcW w:type="dxa" w:w="3286"/>
            <w:tcMar>
              <w:top w:w="80" w:type="dxa"/>
              <w:start w:w="110" w:type="dxa"/>
              <w:bottom w:w="80" w:type="dxa"/>
              <w:end w:w="110" w:type="dxa"/>
            </w:tcMar>
          </w:tcPr>
          <w:p>
            <w:r>
              <w:t>Technical drawing</w:t>
            </w:r>
          </w:p>
        </w:tc>
        <w:tc>
          <w:tcPr>
            <w:tcW w:type="dxa" w:w="3286"/>
            <w:tcMar>
              <w:top w:w="80" w:type="dxa"/>
              <w:start w:w="110" w:type="dxa"/>
              <w:bottom w:w="80" w:type="dxa"/>
              <w:end w:w="110" w:type="dxa"/>
            </w:tcMar>
          </w:tcPr>
          <w:p>
            <w:r>
              <w:t>Stage-routed; design drawings stay in TDE, IFC/shop move to CND</w:t>
            </w:r>
          </w:p>
        </w:tc>
      </w:tr>
      <w:tr>
        <w:tc>
          <w:tcPr>
            <w:tcW w:type="dxa" w:w="3286"/>
            <w:tcMar>
              <w:top w:w="80" w:type="dxa"/>
              <w:start w:w="110" w:type="dxa"/>
              <w:bottom w:w="80" w:type="dxa"/>
              <w:end w:w="110" w:type="dxa"/>
            </w:tcMar>
          </w:tcPr>
          <w:p>
            <w:r>
              <w:t>SDYTEC</w:t>
            </w:r>
          </w:p>
        </w:tc>
        <w:tc>
          <w:tcPr>
            <w:tcW w:type="dxa" w:w="3286"/>
            <w:tcMar>
              <w:top w:w="80" w:type="dxa"/>
              <w:start w:w="110" w:type="dxa"/>
              <w:bottom w:w="80" w:type="dxa"/>
              <w:end w:w="110" w:type="dxa"/>
            </w:tcMar>
          </w:tcPr>
          <w:p>
            <w:r>
              <w:t>Technical study/report</w:t>
            </w:r>
          </w:p>
        </w:tc>
        <w:tc>
          <w:tcPr>
            <w:tcW w:type="dxa" w:w="3286"/>
            <w:tcMar>
              <w:top w:w="80" w:type="dxa"/>
              <w:start w:w="110" w:type="dxa"/>
              <w:bottom w:w="80" w:type="dxa"/>
              <w:end w:w="110" w:type="dxa"/>
            </w:tcMar>
          </w:tcPr>
          <w:p>
            <w:r>
              <w:t>Stage-routed; studies generally remain in TDE</w:t>
            </w:r>
          </w:p>
        </w:tc>
      </w:tr>
      <w:tr>
        <w:tc>
          <w:tcPr>
            <w:tcW w:type="dxa" w:w="3286"/>
            <w:tcMar>
              <w:top w:w="80" w:type="dxa"/>
              <w:start w:w="110" w:type="dxa"/>
              <w:bottom w:w="80" w:type="dxa"/>
              <w:end w:w="110" w:type="dxa"/>
            </w:tcMar>
          </w:tcPr>
          <w:p>
            <w:r>
              <w:t>FIN</w:t>
            </w:r>
          </w:p>
        </w:tc>
        <w:tc>
          <w:tcPr>
            <w:tcW w:type="dxa" w:w="3286"/>
            <w:tcMar>
              <w:top w:w="80" w:type="dxa"/>
              <w:start w:w="110" w:type="dxa"/>
              <w:bottom w:w="80" w:type="dxa"/>
              <w:end w:w="110" w:type="dxa"/>
            </w:tcMar>
          </w:tcPr>
          <w:p>
            <w:r>
              <w:t>Invoice, fee, payment proof</w:t>
            </w:r>
          </w:p>
        </w:tc>
        <w:tc>
          <w:tcPr>
            <w:tcW w:type="dxa" w:w="3286"/>
            <w:tcMar>
              <w:top w:w="80" w:type="dxa"/>
              <w:start w:w="110" w:type="dxa"/>
              <w:bottom w:w="80" w:type="dxa"/>
              <w:end w:w="110" w:type="dxa"/>
            </w:tcMar>
          </w:tcPr>
          <w:p>
            <w:r>
              <w:t>Workstream-based; counterparty required</w:t>
            </w:r>
          </w:p>
        </w:tc>
      </w:tr>
      <w:tr>
        <w:tc>
          <w:tcPr>
            <w:tcW w:type="dxa" w:w="3286"/>
            <w:tcMar>
              <w:top w:w="80" w:type="dxa"/>
              <w:start w:w="110" w:type="dxa"/>
              <w:bottom w:w="80" w:type="dxa"/>
              <w:end w:w="110" w:type="dxa"/>
            </w:tcMar>
          </w:tcPr>
          <w:p>
            <w:r>
              <w:t>CNT</w:t>
            </w:r>
          </w:p>
        </w:tc>
        <w:tc>
          <w:tcPr>
            <w:tcW w:type="dxa" w:w="3286"/>
            <w:tcMar>
              <w:top w:w="80" w:type="dxa"/>
              <w:start w:w="110" w:type="dxa"/>
              <w:bottom w:w="80" w:type="dxa"/>
              <w:end w:w="110" w:type="dxa"/>
            </w:tcMar>
          </w:tcPr>
          <w:p>
            <w:r>
              <w:t>Contract, PO, subcontract, agreement</w:t>
            </w:r>
          </w:p>
        </w:tc>
        <w:tc>
          <w:tcPr>
            <w:tcW w:type="dxa" w:w="3286"/>
            <w:tcMar>
              <w:top w:w="80" w:type="dxa"/>
              <w:start w:w="110" w:type="dxa"/>
              <w:bottom w:w="80" w:type="dxa"/>
              <w:end w:w="110" w:type="dxa"/>
            </w:tcMar>
          </w:tcPr>
          <w:p>
            <w:r>
              <w:t>Workstream-based; counterparty required</w:t>
            </w:r>
          </w:p>
        </w:tc>
      </w:tr>
      <w:tr>
        <w:tc>
          <w:tcPr>
            <w:tcW w:type="dxa" w:w="3286"/>
            <w:tcMar>
              <w:top w:w="80" w:type="dxa"/>
              <w:start w:w="110" w:type="dxa"/>
              <w:bottom w:w="80" w:type="dxa"/>
              <w:end w:w="110" w:type="dxa"/>
            </w:tcMar>
          </w:tcPr>
          <w:p>
            <w:r>
              <w:t>COR</w:t>
            </w:r>
          </w:p>
        </w:tc>
        <w:tc>
          <w:tcPr>
            <w:tcW w:type="dxa" w:w="3286"/>
            <w:tcMar>
              <w:top w:w="80" w:type="dxa"/>
              <w:start w:w="110" w:type="dxa"/>
              <w:bottom w:w="80" w:type="dxa"/>
              <w:end w:w="110" w:type="dxa"/>
            </w:tcMar>
          </w:tcPr>
          <w:p>
            <w:r>
              <w:t>Letters and email-type correspondence</w:t>
            </w:r>
          </w:p>
        </w:tc>
        <w:tc>
          <w:tcPr>
            <w:tcW w:type="dxa" w:w="3286"/>
            <w:tcMar>
              <w:top w:w="80" w:type="dxa"/>
              <w:start w:w="110" w:type="dxa"/>
              <w:bottom w:w="80" w:type="dxa"/>
              <w:end w:w="110" w:type="dxa"/>
            </w:tcMar>
          </w:tcPr>
          <w:p>
            <w:r>
              <w:t>Workstream-based with fallbacks</w:t>
            </w:r>
          </w:p>
        </w:tc>
      </w:tr>
      <w:tr>
        <w:tc>
          <w:tcPr>
            <w:tcW w:type="dxa" w:w="3286"/>
            <w:tcMar>
              <w:top w:w="80" w:type="dxa"/>
              <w:start w:w="110" w:type="dxa"/>
              <w:bottom w:w="80" w:type="dxa"/>
              <w:end w:w="110" w:type="dxa"/>
            </w:tcMar>
          </w:tcPr>
          <w:p>
            <w:r>
              <w:t>REP</w:t>
            </w:r>
          </w:p>
        </w:tc>
        <w:tc>
          <w:tcPr>
            <w:tcW w:type="dxa" w:w="3286"/>
            <w:tcMar>
              <w:top w:w="80" w:type="dxa"/>
              <w:start w:w="110" w:type="dxa"/>
              <w:bottom w:w="80" w:type="dxa"/>
              <w:end w:w="110" w:type="dxa"/>
            </w:tcMar>
          </w:tcPr>
          <w:p>
            <w:r>
              <w:t>Reports and summaries</w:t>
            </w:r>
          </w:p>
        </w:tc>
        <w:tc>
          <w:tcPr>
            <w:tcW w:type="dxa" w:w="3286"/>
            <w:tcMar>
              <w:top w:w="80" w:type="dxa"/>
              <w:start w:w="110" w:type="dxa"/>
              <w:bottom w:w="80" w:type="dxa"/>
              <w:end w:w="110" w:type="dxa"/>
            </w:tcMar>
          </w:tcPr>
          <w:p>
            <w:r>
              <w:t>Workstream-based with fallbacks</w:t>
            </w:r>
          </w:p>
        </w:tc>
      </w:tr>
      <w:tr>
        <w:tc>
          <w:tcPr>
            <w:tcW w:type="dxa" w:w="3286"/>
            <w:tcMar>
              <w:top w:w="80" w:type="dxa"/>
              <w:start w:w="110" w:type="dxa"/>
              <w:bottom w:w="80" w:type="dxa"/>
              <w:end w:w="110" w:type="dxa"/>
            </w:tcMar>
          </w:tcPr>
          <w:p>
            <w:r>
              <w:t>MIN</w:t>
            </w:r>
          </w:p>
        </w:tc>
        <w:tc>
          <w:tcPr>
            <w:tcW w:type="dxa" w:w="3286"/>
            <w:tcMar>
              <w:top w:w="80" w:type="dxa"/>
              <w:start w:w="110" w:type="dxa"/>
              <w:bottom w:w="80" w:type="dxa"/>
              <w:end w:w="110" w:type="dxa"/>
            </w:tcMar>
          </w:tcPr>
          <w:p>
            <w:r>
              <w:t>Minutes</w:t>
            </w:r>
          </w:p>
        </w:tc>
        <w:tc>
          <w:tcPr>
            <w:tcW w:type="dxa" w:w="3286"/>
            <w:tcMar>
              <w:top w:w="80" w:type="dxa"/>
              <w:start w:w="110" w:type="dxa"/>
              <w:bottom w:w="80" w:type="dxa"/>
              <w:end w:w="110" w:type="dxa"/>
            </w:tcMar>
          </w:tcPr>
          <w:p>
            <w:r>
              <w:t>Workstream-based with fallbacks</w:t>
            </w:r>
          </w:p>
        </w:tc>
      </w:tr>
      <w:tr>
        <w:tc>
          <w:tcPr>
            <w:tcW w:type="dxa" w:w="3286"/>
            <w:tcMar>
              <w:top w:w="80" w:type="dxa"/>
              <w:start w:w="110" w:type="dxa"/>
              <w:bottom w:w="80" w:type="dxa"/>
              <w:end w:w="110" w:type="dxa"/>
            </w:tcMar>
          </w:tcPr>
          <w:p>
            <w:r>
              <w:t>DAT</w:t>
            </w:r>
          </w:p>
        </w:tc>
        <w:tc>
          <w:tcPr>
            <w:tcW w:type="dxa" w:w="3286"/>
            <w:tcMar>
              <w:top w:w="80" w:type="dxa"/>
              <w:start w:w="110" w:type="dxa"/>
              <w:bottom w:w="80" w:type="dxa"/>
              <w:end w:w="110" w:type="dxa"/>
            </w:tcMar>
          </w:tcPr>
          <w:p>
            <w:r>
              <w:t>Data files, models, schedules, structured exports</w:t>
            </w:r>
          </w:p>
        </w:tc>
        <w:tc>
          <w:tcPr>
            <w:tcW w:type="dxa" w:w="3286"/>
            <w:tcMar>
              <w:top w:w="80" w:type="dxa"/>
              <w:start w:w="110" w:type="dxa"/>
              <w:bottom w:w="80" w:type="dxa"/>
              <w:end w:w="110" w:type="dxa"/>
            </w:tcMar>
          </w:tcPr>
          <w:p>
            <w:r>
              <w:t>Workstream-based with fallbacks</w:t>
            </w:r>
          </w:p>
        </w:tc>
      </w:tr>
      <w:tr>
        <w:tc>
          <w:tcPr>
            <w:tcW w:type="dxa" w:w="3286"/>
            <w:tcMar>
              <w:top w:w="80" w:type="dxa"/>
              <w:start w:w="110" w:type="dxa"/>
              <w:bottom w:w="80" w:type="dxa"/>
              <w:end w:w="110" w:type="dxa"/>
            </w:tcMar>
          </w:tcPr>
          <w:p>
            <w:r>
              <w:t>IMG</w:t>
            </w:r>
          </w:p>
        </w:tc>
        <w:tc>
          <w:tcPr>
            <w:tcW w:type="dxa" w:w="3286"/>
            <w:tcMar>
              <w:top w:w="80" w:type="dxa"/>
              <w:start w:w="110" w:type="dxa"/>
              <w:bottom w:w="80" w:type="dxa"/>
              <w:end w:w="110" w:type="dxa"/>
            </w:tcMar>
          </w:tcPr>
          <w:p>
            <w:r>
              <w:t>Photos and image files</w:t>
            </w:r>
          </w:p>
        </w:tc>
        <w:tc>
          <w:tcPr>
            <w:tcW w:type="dxa" w:w="3286"/>
            <w:tcMar>
              <w:top w:w="80" w:type="dxa"/>
              <w:start w:w="110" w:type="dxa"/>
              <w:bottom w:w="80" w:type="dxa"/>
              <w:end w:w="110" w:type="dxa"/>
            </w:tcMar>
          </w:tcPr>
          <w:p>
            <w:r>
              <w:t>Workstream-based with fallbacks</w:t>
            </w:r>
          </w:p>
        </w:tc>
      </w:tr>
      <w:tr>
        <w:tc>
          <w:tcPr>
            <w:tcW w:type="dxa" w:w="3286"/>
            <w:tcMar>
              <w:top w:w="80" w:type="dxa"/>
              <w:start w:w="110" w:type="dxa"/>
              <w:bottom w:w="80" w:type="dxa"/>
              <w:end w:w="110" w:type="dxa"/>
            </w:tcMar>
          </w:tcPr>
          <w:p>
            <w:r>
              <w:t>QAQC / HSE</w:t>
            </w:r>
          </w:p>
        </w:tc>
        <w:tc>
          <w:tcPr>
            <w:tcW w:type="dxa" w:w="3286"/>
            <w:tcMar>
              <w:top w:w="80" w:type="dxa"/>
              <w:start w:w="110" w:type="dxa"/>
              <w:bottom w:w="80" w:type="dxa"/>
              <w:end w:w="110" w:type="dxa"/>
            </w:tcMar>
          </w:tcPr>
          <w:p>
            <w:r>
              <w:t>Quality and safety records</w:t>
            </w:r>
          </w:p>
        </w:tc>
        <w:tc>
          <w:tcPr>
            <w:tcW w:type="dxa" w:w="3286"/>
            <w:tcMar>
              <w:top w:w="80" w:type="dxa"/>
              <w:start w:w="110" w:type="dxa"/>
              <w:bottom w:w="80" w:type="dxa"/>
              <w:end w:w="110" w:type="dxa"/>
            </w:tcMar>
          </w:tcPr>
          <w:p>
            <w:r>
              <w:t>Fixed to QAQC_HSE</w:t>
            </w:r>
          </w:p>
        </w:tc>
      </w:tr>
    </w:tbl>
    <w:p>
      <w:pPr>
        <w:pStyle w:val="Heading1"/>
      </w:pPr>
      <w:r>
        <w:t>7. Daily filing rules that staff should remember</w:t>
      </w:r>
    </w:p>
    <w:p>
      <w:pPr>
        <w:pStyle w:val="ListBullet"/>
      </w:pPr>
      <w:r>
        <w:t>Choose the asset first. That determines company folder, asset folder, TYPEID, and much of the path.</w:t>
      </w:r>
    </w:p>
    <w:p>
      <w:pPr>
        <w:pStyle w:val="ListBullet"/>
      </w:pPr>
      <w:r>
        <w:t>Choose the workstream next. The system is workstream-first, not phase-first.</w:t>
      </w:r>
    </w:p>
    <w:p>
      <w:pPr>
        <w:pStyle w:val="ListBullet"/>
      </w:pPr>
      <w:r>
        <w:t>PHASE belongs in the filename, not as the top folder axis.</w:t>
      </w:r>
    </w:p>
    <w:p>
      <w:pPr>
        <w:pStyle w:val="ListBullet"/>
      </w:pPr>
      <w:r>
        <w:t>Use the correct document type. The document type decides the routing behavior.</w:t>
      </w:r>
    </w:p>
    <w:p>
      <w:pPr>
        <w:pStyle w:val="ListBullet"/>
      </w:pPr>
      <w:r>
        <w:t>Do not invent extra subfolders for suppliers, authorities, or ad hoc themes.</w:t>
      </w:r>
    </w:p>
    <w:p>
      <w:pPr>
        <w:pStyle w:val="ListBullet"/>
      </w:pPr>
      <w:r>
        <w:t>Do not use 99_EXPORTS as permanent storage.</w:t>
      </w:r>
    </w:p>
    <w:p>
      <w:pPr>
        <w:pStyle w:val="ListBullet"/>
      </w:pPr>
      <w:r>
        <w:t>If a file is ambiguous, send it to the same workstream’s 99_MISC_REVIEW instead of inventing a personal rule.</w:t>
      </w:r>
    </w:p>
    <w:p>
      <w:pPr>
        <w:pStyle w:val="ListBullet"/>
      </w:pPr>
      <w:r>
        <w:t>Keep unchanged source files in their canonical folders; do not create permanent duplicate archives.</w:t>
      </w:r>
    </w:p>
    <w:p>
      <w:pPr>
        <w:pStyle w:val="Heading1"/>
      </w:pPr>
      <w:r>
        <w:t>8. Company &amp; Asset Admin app</w:t>
      </w:r>
    </w:p>
    <w:p>
      <w:r>
        <w:rPr>
          <w:b w:val="0"/>
          <w:i w:val="0"/>
        </w:rPr>
        <w:t>Purpose: this app maintains the master data that everything else depends on. If company and asset records are wrong, file naming and routing will also be wrong.</w:t>
      </w:r>
    </w:p>
    <w:p>
      <w:r>
        <w:rPr>
          <w:b w:val="0"/>
          <w:i w:val="0"/>
        </w:rPr>
        <w:t>Files used by the app:</w:t>
      </w:r>
    </w:p>
    <w:p>
      <w:pPr>
        <w:pStyle w:val="ListBullet"/>
      </w:pPr>
      <w:r>
        <w:t>company_master.json</w:t>
      </w:r>
    </w:p>
    <w:p>
      <w:pPr>
        <w:pStyle w:val="ListBullet"/>
      </w:pPr>
      <w:r>
        <w:t>assets_master.json</w:t>
      </w:r>
    </w:p>
    <w:p>
      <w:pPr>
        <w:pStyle w:val="ListBullet"/>
      </w:pPr>
      <w:r>
        <w:t>legal_types.json</w:t>
      </w:r>
    </w:p>
    <w:p>
      <w:pPr>
        <w:pStyle w:val="ListBullet"/>
      </w:pPr>
      <w:r>
        <w:t>asset_types.json</w:t>
      </w:r>
    </w:p>
    <w:p>
      <w:r>
        <w:rPr>
          <w:b w:val="0"/>
          <w:i w:val="0"/>
        </w:rPr>
        <w:t>Best local workflow: keep the HTML file in the same working folder as those JSON files and open the folder from the app.</w:t>
      </w:r>
    </w:p>
    <w:p>
      <w:pPr>
        <w:pStyle w:val="Heading2"/>
      </w:pPr>
      <w:r>
        <w:t>8.1 What the Companies part does</w:t>
      </w:r>
    </w:p>
    <w:p>
      <w:pPr>
        <w:pStyle w:val="ListBullet"/>
      </w:pPr>
      <w:r>
        <w:t>Open working folder: attaches the app to the folder containing the JSON masters.</w:t>
      </w:r>
    </w:p>
    <w:p>
      <w:pPr>
        <w:pStyle w:val="ListBullet"/>
      </w:pPr>
      <w:r>
        <w:t>Reload current folder: rereads the current JSON files.</w:t>
      </w:r>
    </w:p>
    <w:p>
      <w:pPr>
        <w:pStyle w:val="ListBullet"/>
      </w:pPr>
      <w:r>
        <w:t>Download company_master.json / Download assets_master.json: exports the current in-memory data.</w:t>
      </w:r>
    </w:p>
    <w:p>
      <w:pPr>
        <w:pStyle w:val="ListBullet"/>
      </w:pPr>
      <w:r>
        <w:t>New company: creates a new empty company record.</w:t>
      </w:r>
    </w:p>
    <w:p>
      <w:pPr>
        <w:pStyle w:val="ListBullet"/>
      </w:pPr>
      <w:r>
        <w:t>Save company: writes the company record back to company_master.json.</w:t>
      </w:r>
    </w:p>
    <w:p>
      <w:pPr>
        <w:pStyle w:val="ListBullet"/>
      </w:pPr>
      <w:r>
        <w:t>Delete company: removes the selected company record.</w:t>
      </w:r>
    </w:p>
    <w:p>
      <w:r>
        <w:rPr>
          <w:b w:val="0"/>
          <w:i w:val="0"/>
        </w:rPr>
        <w:t>Key company rules enforced by the app:</w:t>
      </w:r>
    </w:p>
    <w:p>
      <w:pPr>
        <w:pStyle w:val="ListBullet"/>
      </w:pPr>
      <w:r>
        <w:t>TYP3 comes from legal_types.json, so users pick from a dropdown instead of typing random legal types.</w:t>
      </w:r>
    </w:p>
    <w:p>
      <w:pPr>
        <w:pStyle w:val="ListBullet"/>
      </w:pPr>
      <w:r>
        <w:t>NAMECODE is normalized to letters only, uppercase, maximum 6 characters.</w:t>
      </w:r>
    </w:p>
    <w:p>
      <w:pPr>
        <w:pStyle w:val="ListBullet"/>
      </w:pPr>
      <w:r>
        <w:t>VAT is normalized to a 9-digit value.</w:t>
      </w:r>
    </w:p>
    <w:p>
      <w:pPr>
        <w:pStyle w:val="ListBullet"/>
      </w:pPr>
      <w:r>
        <w:t>company_folder is generated automatically as NAMECODE-TYP3-VAT9.</w:t>
      </w:r>
    </w:p>
    <w:p>
      <w:pPr>
        <w:pStyle w:val="ListBullet"/>
      </w:pPr>
      <w:r>
        <w:t>company_root_path can be stored as the path before the company folder to support real path-length checking.</w:t>
      </w:r>
    </w:p>
    <w:p>
      <w:pPr>
        <w:pStyle w:val="Heading2"/>
      </w:pPr>
      <w:r>
        <w:t>8.2 What the Assets part does</w:t>
      </w:r>
    </w:p>
    <w:p>
      <w:pPr>
        <w:pStyle w:val="ListBullet"/>
      </w:pPr>
      <w:r>
        <w:t>The asset is linked to a company by company_id.</w:t>
      </w:r>
    </w:p>
    <w:p>
      <w:pPr>
        <w:pStyle w:val="ListBullet"/>
      </w:pPr>
      <w:r>
        <w:t>Asset type is selected from asset_types.json.</w:t>
      </w:r>
    </w:p>
    <w:p>
      <w:pPr>
        <w:pStyle w:val="ListBullet"/>
      </w:pPr>
      <w:r>
        <w:t>Metric is calculated automatically from type, input value, and input unit.</w:t>
      </w:r>
    </w:p>
    <w:p>
      <w:pPr>
        <w:pStyle w:val="ListBullet"/>
      </w:pPr>
      <w:r>
        <w:t>TYPEID is generated automatically as TYPE + metric + '-' + SS.</w:t>
      </w:r>
    </w:p>
    <w:p>
      <w:pPr>
        <w:pStyle w:val="ListBullet"/>
      </w:pPr>
      <w:r>
        <w:t>project_name is normalized to lowercase.</w:t>
      </w:r>
    </w:p>
    <w:p>
      <w:pPr>
        <w:pStyle w:val="ListBullet"/>
      </w:pPr>
      <w:r>
        <w:t>location is normalized to uppercase.</w:t>
      </w:r>
    </w:p>
    <w:p>
      <w:pPr>
        <w:pStyle w:val="ListBullet"/>
      </w:pPr>
      <w:r>
        <w:t>asset_folder is generated automatically as TYPEID_project_name_LOCATION.</w:t>
      </w:r>
    </w:p>
    <w:p>
      <w:r>
        <w:rPr>
          <w:b w:val="0"/>
          <w:i w:val="0"/>
        </w:rPr>
        <w:t>Typical asset workflow:</w:t>
      </w:r>
    </w:p>
    <w:p>
      <w:pPr>
        <w:pStyle w:val="ListNumber"/>
      </w:pPr>
      <w:r>
        <w:t>Choose the company.</w:t>
      </w:r>
    </w:p>
    <w:p>
      <w:pPr>
        <w:pStyle w:val="ListNumber"/>
      </w:pPr>
      <w:r>
        <w:t>Choose the asset type.</w:t>
      </w:r>
    </w:p>
    <w:p>
      <w:pPr>
        <w:pStyle w:val="ListNumber"/>
      </w:pPr>
      <w:r>
        <w:t>Enter the source value and unit.</w:t>
      </w:r>
    </w:p>
    <w:p>
      <w:pPr>
        <w:pStyle w:val="ListNumber"/>
      </w:pPr>
      <w:r>
        <w:t>Check the generated metric and TYPEID.</w:t>
      </w:r>
    </w:p>
    <w:p>
      <w:pPr>
        <w:pStyle w:val="ListNumber"/>
      </w:pPr>
      <w:r>
        <w:t>Enter project_name and location.</w:t>
      </w:r>
    </w:p>
    <w:p>
      <w:pPr>
        <w:pStyle w:val="ListNumber"/>
      </w:pPr>
      <w:r>
        <w:t>Save the asset record.</w:t>
      </w:r>
    </w:p>
    <w:p>
      <w:pPr>
        <w:pStyle w:val="Heading2"/>
      </w:pPr>
      <w:r>
        <w:t>8.3 Practical admin rules</w:t>
      </w:r>
    </w:p>
    <w:p>
      <w:pPr>
        <w:pStyle w:val="ListBullet"/>
      </w:pPr>
      <w:r>
        <w:t>Do not hand-type company_folder or asset_folder unless you are deliberately correcting bad legacy data.</w:t>
      </w:r>
    </w:p>
    <w:p>
      <w:pPr>
        <w:pStyle w:val="ListBullet"/>
      </w:pPr>
      <w:r>
        <w:t>Do not bypass the dropdowns for legal type or asset type.</w:t>
      </w:r>
    </w:p>
    <w:p>
      <w:pPr>
        <w:pStyle w:val="ListBullet"/>
      </w:pPr>
      <w:r>
        <w:t>Use notes only for useful business context, not as a second metadata system.</w:t>
      </w:r>
    </w:p>
    <w:p>
      <w:pPr>
        <w:pStyle w:val="ListBullet"/>
      </w:pPr>
      <w:r>
        <w:t>When a company is archived or no longer used, set is_active accordingly instead of deleting its history lightly.</w:t>
      </w:r>
    </w:p>
    <w:p>
      <w:pPr>
        <w:pStyle w:val="Heading1"/>
      </w:pPr>
      <w:r>
        <w:t>9. SCH File Naming Assistant</w:t>
      </w:r>
    </w:p>
    <w:p>
      <w:r>
        <w:rPr>
          <w:b w:val="0"/>
          <w:i w:val="0"/>
        </w:rPr>
        <w:t>Purpose: this tool is used at the point of filing. It does not replace judgment, but it standardizes the filename and target folder.</w:t>
      </w:r>
    </w:p>
    <w:p>
      <w:r>
        <w:rPr>
          <w:b w:val="0"/>
          <w:i w:val="0"/>
        </w:rPr>
        <w:t>Data sources used by the assistant:</w:t>
      </w:r>
    </w:p>
    <w:p>
      <w:pPr>
        <w:pStyle w:val="ListBullet"/>
      </w:pPr>
      <w:r>
        <w:t>policy.json</w:t>
      </w:r>
    </w:p>
    <w:p>
      <w:pPr>
        <w:pStyle w:val="ListBullet"/>
      </w:pPr>
      <w:r>
        <w:t>company_master.json</w:t>
      </w:r>
    </w:p>
    <w:p>
      <w:pPr>
        <w:pStyle w:val="ListBullet"/>
      </w:pPr>
      <w:r>
        <w:t>assets_master.json</w:t>
      </w:r>
    </w:p>
    <w:p>
      <w:r>
        <w:rPr>
          <w:b w:val="0"/>
          <w:i w:val="0"/>
        </w:rPr>
        <w:t>Best local workflow: keep the assistant in the same folder as those JSON files and open that folder from the tool.</w:t>
      </w:r>
    </w:p>
    <w:p>
      <w:pPr>
        <w:pStyle w:val="Heading2"/>
      </w:pPr>
      <w:r>
        <w:t>9.1 How to load the tool correctly</w:t>
      </w:r>
    </w:p>
    <w:p>
      <w:pPr>
        <w:pStyle w:val="ListBullet"/>
      </w:pPr>
      <w:r>
        <w:t>Use Open working folder in Chrome or Edge.</w:t>
      </w:r>
    </w:p>
    <w:p>
      <w:pPr>
        <w:pStyle w:val="ListBullet"/>
      </w:pPr>
      <w:r>
        <w:t>Try auto-load same folder is only a convenience and may be blocked when the page is opened directly from disk.</w:t>
      </w:r>
    </w:p>
    <w:p>
      <w:pPr>
        <w:pStyle w:val="ListBullet"/>
      </w:pPr>
      <w:r>
        <w:t>If the tool says no policy folder is loaded, do not trust the result yet.</w:t>
      </w:r>
    </w:p>
    <w:p>
      <w:pPr>
        <w:pStyle w:val="ListBullet"/>
      </w:pPr>
      <w:r>
        <w:t>After loading correctly, select the asset and continue with the filing inputs.</w:t>
      </w:r>
    </w:p>
    <w:p>
      <w:pPr>
        <w:pStyle w:val="Heading2"/>
      </w:pPr>
      <w:r>
        <w:t>9.2 What the user fills in</w:t>
      </w:r>
    </w:p>
    <w:p>
      <w:pPr>
        <w:pStyle w:val="ListBullet"/>
      </w:pPr>
      <w:r>
        <w:t>Asset</w:t>
      </w:r>
    </w:p>
    <w:p>
      <w:pPr>
        <w:pStyle w:val="ListBullet"/>
      </w:pPr>
      <w:r>
        <w:t>Extension</w:t>
      </w:r>
    </w:p>
    <w:p>
      <w:pPr>
        <w:pStyle w:val="ListBullet"/>
      </w:pPr>
      <w:r>
        <w:t>Workstream</w:t>
      </w:r>
    </w:p>
    <w:p>
      <w:pPr>
        <w:pStyle w:val="ListBullet"/>
      </w:pPr>
      <w:r>
        <w:t>Phase</w:t>
      </w:r>
    </w:p>
    <w:p>
      <w:pPr>
        <w:pStyle w:val="ListBullet"/>
      </w:pPr>
      <w:r>
        <w:t>Document type</w:t>
      </w:r>
    </w:p>
    <w:p>
      <w:pPr>
        <w:pStyle w:val="ListBullet"/>
      </w:pPr>
      <w:r>
        <w:t>Deliverable stage only when the selected doc type requires it</w:t>
      </w:r>
    </w:p>
    <w:p>
      <w:pPr>
        <w:pStyle w:val="ListBullet"/>
      </w:pPr>
      <w:r>
        <w:t>Counterparty (and optionally other counterparty) only for FIN and CNT</w:t>
      </w:r>
    </w:p>
    <w:p>
      <w:pPr>
        <w:pStyle w:val="ListBullet"/>
      </w:pPr>
      <w:r>
        <w:t>Description</w:t>
      </w:r>
    </w:p>
    <w:p>
      <w:pPr>
        <w:pStyle w:val="ListBullet"/>
      </w:pPr>
      <w:r>
        <w:t>Date</w:t>
      </w:r>
    </w:p>
    <w:p>
      <w:pPr>
        <w:pStyle w:val="ListBullet"/>
      </w:pPr>
      <w:r>
        <w:t>Version</w:t>
      </w:r>
    </w:p>
    <w:p>
      <w:pPr>
        <w:pStyle w:val="ListBullet"/>
      </w:pPr>
      <w:r>
        <w:t>Status</w:t>
      </w:r>
    </w:p>
    <w:p>
      <w:pPr>
        <w:pStyle w:val="ListBullet"/>
      </w:pPr>
      <w:r>
        <w:t>Force review only when you want to deliberately flag the output for checking</w:t>
      </w:r>
    </w:p>
    <w:p>
      <w:pPr>
        <w:pStyle w:val="Heading2"/>
      </w:pPr>
      <w:r>
        <w:t>9.3 What the tool returns</w:t>
      </w:r>
    </w:p>
    <w:p>
      <w:pPr>
        <w:pStyle w:val="ListBullet"/>
      </w:pPr>
      <w:r>
        <w:t>Target folder</w:t>
      </w:r>
    </w:p>
    <w:p>
      <w:pPr>
        <w:pStyle w:val="ListBullet"/>
      </w:pPr>
      <w:r>
        <w:t>Canonical filename</w:t>
      </w:r>
    </w:p>
    <w:p>
      <w:pPr>
        <w:pStyle w:val="ListBullet"/>
      </w:pPr>
      <w:r>
        <w:t>Full destination path</w:t>
      </w:r>
    </w:p>
    <w:p>
      <w:pPr>
        <w:pStyle w:val="ListBullet"/>
      </w:pPr>
      <w:r>
        <w:t>Routing explanation</w:t>
      </w:r>
    </w:p>
    <w:p>
      <w:pPr>
        <w:pStyle w:val="ListBullet"/>
      </w:pPr>
      <w:r>
        <w:t>Validation summary</w:t>
      </w:r>
    </w:p>
    <w:p>
      <w:r>
        <w:rPr>
          <w:b w:val="0"/>
          <w:i w:val="0"/>
        </w:rPr>
        <w:t>The review badge means:</w:t>
      </w:r>
    </w:p>
    <w:p>
      <w:pPr>
        <w:pStyle w:val="ListBullet"/>
      </w:pPr>
      <w:r>
        <w:t>Ready for canonical filing = required inputs are complete and no structural validation issue was found.</w:t>
      </w:r>
    </w:p>
    <w:p>
      <w:pPr>
        <w:pStyle w:val="ListBullet"/>
      </w:pPr>
      <w:r>
        <w:t>Needs manual review before filing = one or more required inputs are missing, the path/filename breaks policy limits, or you forced review.</w:t>
      </w:r>
    </w:p>
    <w:p>
      <w:pPr>
        <w:pStyle w:val="Heading2"/>
      </w:pPr>
      <w:r>
        <w:t>9.4 How the assistant thinks</w:t>
      </w:r>
    </w:p>
    <w:p>
      <w:r>
        <w:rPr>
          <w:b w:val="0"/>
          <w:i w:val="0"/>
        </w:rPr>
        <w:t>The tool follows the policy decision tree in a simplified form.</w:t>
      </w:r>
    </w:p>
    <w:p>
      <w:pPr>
        <w:pStyle w:val="ListNumber"/>
      </w:pPr>
      <w:r>
        <w:t>Resolve the asset context.</w:t>
      </w:r>
    </w:p>
    <w:p>
      <w:pPr>
        <w:pStyle w:val="ListNumber"/>
      </w:pPr>
      <w:r>
        <w:t>Derive company_folder, asset_folder, type, metric, and TYPEID from the selected asset.</w:t>
      </w:r>
    </w:p>
    <w:p>
      <w:pPr>
        <w:pStyle w:val="ListNumber"/>
      </w:pPr>
      <w:r>
        <w:t>Validate the user-required fields.</w:t>
      </w:r>
    </w:p>
    <w:p>
      <w:pPr>
        <w:pStyle w:val="ListNumber"/>
      </w:pPr>
      <w:r>
        <w:t>Resolve the document type routing rule.</w:t>
      </w:r>
    </w:p>
    <w:p>
      <w:pPr>
        <w:pStyle w:val="ListNumber"/>
      </w:pPr>
      <w:r>
        <w:t>If the document is stage-sensitive, validate and apply the deliverable stage.</w:t>
      </w:r>
    </w:p>
    <w:p>
      <w:pPr>
        <w:pStyle w:val="ListNumber"/>
      </w:pPr>
      <w:r>
        <w:t>If the document is FIN or CNT, apply the counterparty prefix rule.</w:t>
      </w:r>
    </w:p>
    <w:p>
      <w:pPr>
        <w:pStyle w:val="ListNumber"/>
      </w:pPr>
      <w:r>
        <w:t>Build the filename.</w:t>
      </w:r>
    </w:p>
    <w:p>
      <w:pPr>
        <w:pStyle w:val="ListNumber"/>
      </w:pPr>
      <w:r>
        <w:t>Check path length, filename length, and path depth.</w:t>
      </w:r>
    </w:p>
    <w:p>
      <w:pPr>
        <w:pStyle w:val="ListNumber"/>
      </w:pPr>
      <w:r>
        <w:t>Return the result or flag it for manual review.</w:t>
      </w:r>
    </w:p>
    <w:p>
      <w:pPr>
        <w:pStyle w:val="Heading1"/>
      </w:pPr>
      <w:r>
        <w:t>10. Export packs versus canonical storage</w:t>
      </w:r>
    </w:p>
    <w:p>
      <w:r>
        <w:rPr>
          <w:b w:val="0"/>
          <w:i w:val="0"/>
        </w:rPr>
        <w:t>This is one of the most important practical distinctions in the system.</w:t>
      </w:r>
    </w:p>
    <w:tbl>
      <w:tblPr>
        <w:tblW w:type="auto" w:w="0"/>
        <w:jc w:val="left"/>
        <w:tblLook w:firstColumn="1" w:firstRow="1" w:lastColumn="0" w:lastRow="0" w:noHBand="0" w:noVBand="1" w:val="04A0"/>
      </w:tblPr>
      <w:tblGrid>
        <w:gridCol w:w="3286"/>
        <w:gridCol w:w="3286"/>
        <w:gridCol w:w="3286"/>
      </w:tblGrid>
      <w:tr>
        <w:tc>
          <w:tcPr>
            <w:tcW w:type="dxa" w:w="3286"/>
            <w:shd w:fill="E5E7EB"/>
            <w:tcMar>
              <w:top w:w="80" w:type="dxa"/>
              <w:start w:w="110" w:type="dxa"/>
              <w:bottom w:w="80" w:type="dxa"/>
              <w:end w:w="110" w:type="dxa"/>
            </w:tcMar>
          </w:tcPr>
          <w:p>
            <w:r>
              <w:rPr>
                <w:b/>
              </w:rPr>
              <w:t>Area</w:t>
            </w:r>
          </w:p>
        </w:tc>
        <w:tc>
          <w:tcPr>
            <w:tcW w:type="dxa" w:w="3286"/>
            <w:shd w:fill="E5E7EB"/>
            <w:tcMar>
              <w:top w:w="80" w:type="dxa"/>
              <w:start w:w="110" w:type="dxa"/>
              <w:bottom w:w="80" w:type="dxa"/>
              <w:end w:w="110" w:type="dxa"/>
            </w:tcMar>
          </w:tcPr>
          <w:p>
            <w:r>
              <w:rPr>
                <w:b/>
              </w:rPr>
              <w:t>What it is for</w:t>
            </w:r>
          </w:p>
        </w:tc>
        <w:tc>
          <w:tcPr>
            <w:tcW w:type="dxa" w:w="3286"/>
            <w:shd w:fill="E5E7EB"/>
            <w:tcMar>
              <w:top w:w="80" w:type="dxa"/>
              <w:start w:w="110" w:type="dxa"/>
              <w:bottom w:w="80" w:type="dxa"/>
              <w:end w:w="110" w:type="dxa"/>
            </w:tcMar>
          </w:tcPr>
          <w:p>
            <w:r>
              <w:rPr>
                <w:b/>
              </w:rPr>
              <w:t>Should it keep master records?</w:t>
            </w:r>
          </w:p>
        </w:tc>
      </w:tr>
      <w:tr>
        <w:tc>
          <w:tcPr>
            <w:tcW w:type="dxa" w:w="3286"/>
            <w:tcMar>
              <w:top w:w="80" w:type="dxa"/>
              <w:start w:w="110" w:type="dxa"/>
              <w:bottom w:w="80" w:type="dxa"/>
              <w:end w:w="110" w:type="dxa"/>
            </w:tcMar>
          </w:tcPr>
          <w:p>
            <w:r>
              <w:t>Canonical workstream folders</w:t>
            </w:r>
          </w:p>
        </w:tc>
        <w:tc>
          <w:tcPr>
            <w:tcW w:type="dxa" w:w="3286"/>
            <w:tcMar>
              <w:top w:w="80" w:type="dxa"/>
              <w:start w:w="110" w:type="dxa"/>
              <w:bottom w:w="80" w:type="dxa"/>
              <w:end w:w="110" w:type="dxa"/>
            </w:tcMar>
          </w:tcPr>
          <w:p>
            <w:r>
              <w:t>Permanent, source-of-truth storage</w:t>
            </w:r>
          </w:p>
        </w:tc>
        <w:tc>
          <w:tcPr>
            <w:tcW w:type="dxa" w:w="3286"/>
            <w:tcMar>
              <w:top w:w="80" w:type="dxa"/>
              <w:start w:w="110" w:type="dxa"/>
              <w:bottom w:w="80" w:type="dxa"/>
              <w:end w:w="110" w:type="dxa"/>
            </w:tcMar>
          </w:tcPr>
          <w:p>
            <w:r>
              <w:t>Yes</w:t>
            </w:r>
          </w:p>
        </w:tc>
      </w:tr>
      <w:tr>
        <w:tc>
          <w:tcPr>
            <w:tcW w:type="dxa" w:w="3286"/>
            <w:tcMar>
              <w:top w:w="80" w:type="dxa"/>
              <w:start w:w="110" w:type="dxa"/>
              <w:bottom w:w="80" w:type="dxa"/>
              <w:end w:w="110" w:type="dxa"/>
            </w:tcMar>
          </w:tcPr>
          <w:p>
            <w:r>
              <w:t>03_PERMITTING_APPROVALS/02_SUBMISSIONS_RESPONSES</w:t>
            </w:r>
          </w:p>
        </w:tc>
        <w:tc>
          <w:tcPr>
            <w:tcW w:type="dxa" w:w="3286"/>
            <w:tcMar>
              <w:top w:w="80" w:type="dxa"/>
              <w:start w:w="110" w:type="dxa"/>
              <w:bottom w:w="80" w:type="dxa"/>
              <w:end w:w="110" w:type="dxa"/>
            </w:tcMar>
          </w:tcPr>
          <w:p>
            <w:r>
              <w:t>Case file for submissions, receipts, correspondence, reply packages</w:t>
            </w:r>
          </w:p>
        </w:tc>
        <w:tc>
          <w:tcPr>
            <w:tcW w:type="dxa" w:w="3286"/>
            <w:tcMar>
              <w:top w:w="80" w:type="dxa"/>
              <w:start w:w="110" w:type="dxa"/>
              <w:bottom w:w="80" w:type="dxa"/>
              <w:end w:w="110" w:type="dxa"/>
            </w:tcMar>
          </w:tcPr>
          <w:p>
            <w:r>
              <w:t>Yes</w:t>
            </w:r>
          </w:p>
        </w:tc>
      </w:tr>
      <w:tr>
        <w:tc>
          <w:tcPr>
            <w:tcW w:type="dxa" w:w="3286"/>
            <w:tcMar>
              <w:top w:w="80" w:type="dxa"/>
              <w:start w:w="110" w:type="dxa"/>
              <w:bottom w:w="80" w:type="dxa"/>
              <w:end w:w="110" w:type="dxa"/>
            </w:tcMar>
          </w:tcPr>
          <w:p>
            <w:r>
              <w:t>99_EXPORTS</w:t>
            </w:r>
          </w:p>
        </w:tc>
        <w:tc>
          <w:tcPr>
            <w:tcW w:type="dxa" w:w="3286"/>
            <w:tcMar>
              <w:top w:w="80" w:type="dxa"/>
              <w:start w:w="110" w:type="dxa"/>
              <w:bottom w:w="80" w:type="dxa"/>
              <w:end w:w="110" w:type="dxa"/>
            </w:tcMar>
          </w:tcPr>
          <w:p>
            <w:r>
              <w:t>Temporary portal/email/transmittal copies</w:t>
            </w:r>
          </w:p>
        </w:tc>
        <w:tc>
          <w:tcPr>
            <w:tcW w:type="dxa" w:w="3286"/>
            <w:tcMar>
              <w:top w:w="80" w:type="dxa"/>
              <w:start w:w="110" w:type="dxa"/>
              <w:bottom w:w="80" w:type="dxa"/>
              <w:end w:w="110" w:type="dxa"/>
            </w:tcMar>
          </w:tcPr>
          <w:p>
            <w:r>
              <w:t>No</w:t>
            </w:r>
          </w:p>
        </w:tc>
      </w:tr>
    </w:tbl>
    <w:p>
      <w:r>
        <w:rPr>
          <w:b w:val="0"/>
          <w:i w:val="0"/>
        </w:rPr>
        <w:t>Rule of thumb:</w:t>
      </w:r>
    </w:p>
    <w:p>
      <w:pPr>
        <w:pStyle w:val="ListBullet"/>
      </w:pPr>
      <w:r>
        <w:t>Keep unchanged source files in their native canonical folders.</w:t>
      </w:r>
    </w:p>
    <w:p>
      <w:pPr>
        <w:pStyle w:val="ListBullet"/>
      </w:pPr>
      <w:r>
        <w:t>Use 99_EXPORTS only as the outbox.</w:t>
      </w:r>
    </w:p>
    <w:p>
      <w:pPr>
        <w:pStyle w:val="ListBullet"/>
      </w:pPr>
      <w:r>
        <w:t>Delete temporary export copies when they are no longer operationally useful.</w:t>
      </w:r>
    </w:p>
    <w:p>
      <w:pPr>
        <w:pStyle w:val="ListBullet"/>
      </w:pPr>
      <w:r>
        <w:t>Keep the official submission record, receipts, and responses in the case folder.</w:t>
      </w:r>
    </w:p>
    <w:p>
      <w:pPr>
        <w:pStyle w:val="ListBullet"/>
      </w:pPr>
      <w:r>
        <w:t>Keep the final issued permit in PMT / 01_PERMITS_LICENSES.</w:t>
      </w:r>
    </w:p>
    <w:p>
      <w:pPr>
        <w:pStyle w:val="Heading1"/>
      </w:pPr>
      <w:r>
        <w:t>11. Applied examples</w:t>
      </w:r>
    </w:p>
    <w:p>
      <w:r>
        <w:rPr>
          <w:b w:val="0"/>
          <w:i w:val="0"/>
        </w:rPr>
        <w:t>The examples below show how the policy and the two tools should be used together.</w:t>
      </w:r>
    </w:p>
    <w:p>
      <w:pPr>
        <w:pStyle w:val="Heading2"/>
      </w:pPr>
      <w:r>
        <w:t>Example A — Environmental approval submission</w:t>
      </w:r>
    </w:p>
    <w:p>
      <w:pPr>
        <w:pStyle w:val="ListBullet"/>
      </w:pPr>
      <w:r>
        <w:t>Source studies are searched in 04_TECHNICAL_DESIGN/01_STUDIES.</w:t>
      </w:r>
    </w:p>
    <w:p>
      <w:pPr>
        <w:pStyle w:val="ListBullet"/>
      </w:pPr>
      <w:r>
        <w:t>Topographical and cadastral evidence is searched in 02_LAND_SITE/01_OWNERSHIP_SURVEYS.</w:t>
      </w:r>
    </w:p>
    <w:p>
      <w:pPr>
        <w:pStyle w:val="ListBullet"/>
      </w:pPr>
      <w:r>
        <w:t>Land agreements or rights are searched in 02_LAND_SITE/02_AGREEMENTS.</w:t>
      </w:r>
    </w:p>
    <w:p>
      <w:pPr>
        <w:pStyle w:val="ListBullet"/>
      </w:pPr>
      <w:r>
        <w:t>Plans are searched in 04_TECHNICAL_DESIGN/02_DRAWINGS.</w:t>
      </w:r>
    </w:p>
    <w:p>
      <w:pPr>
        <w:pStyle w:val="ListBullet"/>
      </w:pPr>
      <w:r>
        <w:t>Permit fee evidence is searched in 03_PERMITTING_APPROVALS/04_FEES_PAYMENTS.</w:t>
      </w:r>
    </w:p>
    <w:p>
      <w:pPr>
        <w:pStyle w:val="ListBullet"/>
      </w:pPr>
      <w:r>
        <w:t>The official application package is stored in 03_PERMITTING_APPROVALS/02_SUBMISSIONS_RESPONSES.</w:t>
      </w:r>
    </w:p>
    <w:p>
      <w:pPr>
        <w:pStyle w:val="ListBullet"/>
      </w:pPr>
      <w:r>
        <w:t>A zipped upload set may be created temporarily in 99_EXPORTS for portal submission.</w:t>
      </w:r>
    </w:p>
    <w:p>
      <w:pPr>
        <w:pStyle w:val="ListBullet"/>
      </w:pPr>
      <w:r>
        <w:t>After sending, the receipt, protocol number, acknowledgement, and any clarification request stay in 03_PERMITTING_APPROVALS/02_SUBMISSIONS_RESPONSES.</w:t>
      </w:r>
    </w:p>
    <w:p>
      <w:pPr>
        <w:pStyle w:val="ListBullet"/>
      </w:pPr>
      <w:r>
        <w:t>If more information is requested, revised studies stay in their source folders, while the reply package and correspondence stay in 02_SUBMISSIONS_RESPONSES.</w:t>
      </w:r>
    </w:p>
    <w:p>
      <w:pPr>
        <w:pStyle w:val="ListBullet"/>
      </w:pPr>
      <w:r>
        <w:t>The final issued environmental approval goes to 03_PERMITTING_APPROVALS/01_PERMITS_LICENSES.</w:t>
      </w:r>
    </w:p>
    <w:p>
      <w:pPr>
        <w:pStyle w:val="Heading2"/>
      </w:pPr>
      <w:r>
        <w:t>Example B — Consultant invoice for design work</w:t>
      </w:r>
    </w:p>
    <w:p>
      <w:pPr>
        <w:pStyle w:val="ListBullet"/>
      </w:pPr>
      <w:r>
        <w:t>Use doc type FIN and workstream TDE.</w:t>
      </w:r>
    </w:p>
    <w:p>
      <w:pPr>
        <w:pStyle w:val="ListBullet"/>
      </w:pPr>
      <w:r>
        <w:t>Enter the consultant as counterparty.</w:t>
      </w:r>
    </w:p>
    <w:p>
      <w:pPr>
        <w:pStyle w:val="ListBullet"/>
      </w:pPr>
      <w:r>
        <w:t>The assistant prefixes DESCRIPTION with the counterparty and routes the file to 04_TECHNICAL_DESIGN/05_PAYMENTS.</w:t>
      </w:r>
    </w:p>
    <w:p>
      <w:pPr>
        <w:pStyle w:val="ListBullet"/>
      </w:pPr>
      <w:r>
        <w:t>Keep the contract itself in 04_TECHNICAL_DESIGN/04_CONSULTANT_CONTRACTS.</w:t>
      </w:r>
    </w:p>
    <w:p>
      <w:pPr>
        <w:pStyle w:val="Heading2"/>
      </w:pPr>
      <w:r>
        <w:t>Example C — New tender drawing issue</w:t>
      </w:r>
    </w:p>
    <w:p>
      <w:pPr>
        <w:pStyle w:val="ListBullet"/>
      </w:pPr>
      <w:r>
        <w:t>Use doc type DRWTEC, workstream TDE, stage TENDER.</w:t>
      </w:r>
    </w:p>
    <w:p>
      <w:pPr>
        <w:pStyle w:val="ListBullet"/>
      </w:pPr>
      <w:r>
        <w:t>The drawing stays under 04_TECHNICAL_DESIGN/02_DRAWINGS.</w:t>
      </w:r>
    </w:p>
    <w:p>
      <w:pPr>
        <w:pStyle w:val="ListBullet"/>
      </w:pPr>
      <w:r>
        <w:t>If the drawing later becomes IFC or SHOP, the route changes to construction drawings under CND.</w:t>
      </w:r>
    </w:p>
    <w:p>
      <w:pPr>
        <w:pStyle w:val="Heading2"/>
      </w:pPr>
      <w:r>
        <w:t>Example D — Site progress photo</w:t>
      </w:r>
    </w:p>
    <w:p>
      <w:pPr>
        <w:pStyle w:val="ListBullet"/>
      </w:pPr>
      <w:r>
        <w:t>Use doc type IMG.</w:t>
      </w:r>
    </w:p>
    <w:p>
      <w:pPr>
        <w:pStyle w:val="ListBullet"/>
      </w:pPr>
      <w:r>
        <w:t>If the context is live site execution, use workstream CND.</w:t>
      </w:r>
    </w:p>
    <w:p>
      <w:pPr>
        <w:pStyle w:val="ListBullet"/>
      </w:pPr>
      <w:r>
        <w:t>The assistant will route it to 07_CONSTRUCTION_DELIVERY/02_SITE_DIARY_PROGRESS unless another stronger rule applies.</w:t>
      </w:r>
    </w:p>
    <w:p>
      <w:pPr>
        <w:pStyle w:val="Heading2"/>
      </w:pPr>
      <w:r>
        <w:t>Example E — Issued permit</w:t>
      </w:r>
    </w:p>
    <w:p>
      <w:pPr>
        <w:pStyle w:val="ListBullet"/>
      </w:pPr>
      <w:r>
        <w:t>Use doc type PER.</w:t>
      </w:r>
    </w:p>
    <w:p>
      <w:pPr>
        <w:pStyle w:val="ListBullet"/>
      </w:pPr>
      <w:r>
        <w:t>The permit does not stay in general correspondence.</w:t>
      </w:r>
    </w:p>
    <w:p>
      <w:pPr>
        <w:pStyle w:val="ListBullet"/>
      </w:pPr>
      <w:r>
        <w:t>It routes directly to 03_PERMITTING_APPROVALS/01_PERMITS_LICENSES.</w:t>
      </w:r>
    </w:p>
    <w:p>
      <w:pPr>
        <w:pStyle w:val="Heading1"/>
      </w:pPr>
      <w:r>
        <w:t>12. Common mistakes to avoid</w:t>
      </w:r>
    </w:p>
    <w:p>
      <w:pPr>
        <w:pStyle w:val="ListBullet"/>
      </w:pPr>
      <w:r>
        <w:t>Creating a personal side folder tree because the official tree feels unfamiliar.</w:t>
      </w:r>
    </w:p>
    <w:p>
      <w:pPr>
        <w:pStyle w:val="ListBullet"/>
      </w:pPr>
      <w:r>
        <w:t>Using 99_EXPORTS as a permanent archive.</w:t>
      </w:r>
    </w:p>
    <w:p>
      <w:pPr>
        <w:pStyle w:val="ListBullet"/>
      </w:pPr>
      <w:r>
        <w:t>Saving every submission-source file again inside the case file.</w:t>
      </w:r>
    </w:p>
    <w:p>
      <w:pPr>
        <w:pStyle w:val="ListBullet"/>
      </w:pPr>
      <w:r>
        <w:t>Typing folder names or TYPEIDs manually when the admin tool can generate them.</w:t>
      </w:r>
    </w:p>
    <w:p>
      <w:pPr>
        <w:pStyle w:val="ListBullet"/>
      </w:pPr>
      <w:r>
        <w:t>Ignoring the review badge in the naming assistant.</w:t>
      </w:r>
    </w:p>
    <w:p>
      <w:pPr>
        <w:pStyle w:val="ListBullet"/>
      </w:pPr>
      <w:r>
        <w:t>Storing final permits in general submissions/correspondence instead of the permits/licenses folder.</w:t>
      </w:r>
    </w:p>
    <w:p>
      <w:pPr>
        <w:pStyle w:val="ListBullet"/>
      </w:pPr>
      <w:r>
        <w:t>Letting company and asset masters drift from real operational reality.</w:t>
      </w:r>
    </w:p>
    <w:p>
      <w:pPr>
        <w:pStyle w:val="Heading1"/>
      </w:pPr>
      <w:r>
        <w:t>13. Recommended operating rhythm</w:t>
      </w:r>
    </w:p>
    <w:p>
      <w:pPr>
        <w:pStyle w:val="ListBullet"/>
      </w:pPr>
      <w:r>
        <w:t>Use Company &amp; Asset Admin when a new legal entity or a new asset is created, or when core identity data changes.</w:t>
      </w:r>
    </w:p>
    <w:p>
      <w:pPr>
        <w:pStyle w:val="ListBullet"/>
      </w:pPr>
      <w:r>
        <w:t>Use the File Naming Assistant every time a user is about to file a new operational document.</w:t>
      </w:r>
    </w:p>
    <w:p>
      <w:pPr>
        <w:pStyle w:val="ListBullet"/>
      </w:pPr>
      <w:r>
        <w:t>Review 99_MISC_REVIEW folders regularly and clear them into canonical homes.</w:t>
      </w:r>
    </w:p>
    <w:p>
      <w:pPr>
        <w:pStyle w:val="ListBullet"/>
      </w:pPr>
      <w:r>
        <w:t>Review 99_EXPORTS regularly and delete temporary copies that are no longer needed.</w:t>
      </w:r>
    </w:p>
    <w:p>
      <w:pPr>
        <w:pStyle w:val="ListBullet"/>
      </w:pPr>
      <w:r>
        <w:t>Treat master_policy.yaml as the only maintained source and regenerate derived files when policy logic changes.</w:t>
      </w:r>
    </w:p>
    <w:p>
      <w:pPr>
        <w:pStyle w:val="Heading1"/>
      </w:pPr>
      <w:r>
        <w:t>14. Quick reference checklist</w:t>
      </w:r>
    </w:p>
    <w:p>
      <w:pPr>
        <w:pStyle w:val="ListBullet"/>
      </w:pPr>
      <w:r>
        <w:t>Is the company and asset master data correct?</w:t>
      </w:r>
    </w:p>
    <w:p>
      <w:pPr>
        <w:pStyle w:val="ListBullet"/>
      </w:pPr>
      <w:r>
        <w:t>Did I choose the correct workstream?</w:t>
      </w:r>
    </w:p>
    <w:p>
      <w:pPr>
        <w:pStyle w:val="ListBullet"/>
      </w:pPr>
      <w:r>
        <w:t>Did I choose the correct doc type?</w:t>
      </w:r>
    </w:p>
    <w:p>
      <w:pPr>
        <w:pStyle w:val="ListBullet"/>
      </w:pPr>
      <w:r>
        <w:t>Did I provide stage only when required?</w:t>
      </w:r>
    </w:p>
    <w:p>
      <w:pPr>
        <w:pStyle w:val="ListBullet"/>
      </w:pPr>
      <w:r>
        <w:t>Did I provide counterparty only when required?</w:t>
      </w:r>
    </w:p>
    <w:p>
      <w:pPr>
        <w:pStyle w:val="ListBullet"/>
      </w:pPr>
      <w:r>
        <w:t>Does the generated filename look business-meaningful?</w:t>
      </w:r>
    </w:p>
    <w:p>
      <w:pPr>
        <w:pStyle w:val="ListBullet"/>
      </w:pPr>
      <w:r>
        <w:t>Does the target folder match the real business context?</w:t>
      </w:r>
    </w:p>
    <w:p>
      <w:pPr>
        <w:pStyle w:val="ListBullet"/>
      </w:pPr>
      <w:r>
        <w:t>Am I filing a source document, a case record, or only a temporary export copy?</w:t>
      </w:r>
    </w:p>
    <w:p/>
    <w:tbl>
      <w:tblPr>
        <w:tblW w:type="auto" w:w="0"/>
        <w:tblLook w:firstColumn="1" w:firstRow="1" w:lastColumn="0" w:lastRow="0" w:noHBand="0" w:noVBand="1" w:val="04A0"/>
      </w:tblPr>
      <w:tblGrid>
        <w:gridCol w:w="9859"/>
      </w:tblGrid>
      <w:tr>
        <w:tc>
          <w:tcPr>
            <w:tcW w:type="dxa" w:w="9859"/>
            <w:shd w:fill="F3F4F6"/>
            <w:tcMar>
              <w:top w:w="110" w:type="dxa"/>
              <w:start w:w="130" w:type="dxa"/>
              <w:bottom w:w="110" w:type="dxa"/>
              <w:end w:w="130" w:type="dxa"/>
            </w:tcMar>
          </w:tcPr>
          <w:p/>
          <w:p>
            <w:r>
              <w:rPr>
                <w:b/>
                <w:i w:val="0"/>
                <w:color w:val="374151"/>
              </w:rPr>
              <w:t>Manual closing note</w:t>
            </w:r>
          </w:p>
          <w:p>
            <w:r>
              <w:rPr>
                <w:b w:val="0"/>
                <w:i w:val="0"/>
                <w:color w:val="374151"/>
              </w:rPr>
              <w:t>If two interpretations seem possible, do not invent a new local rule. Use the File Naming Assistant, check the route explanation, and if still unclear place the file in the correct workstream’s 99_MISC_REVIEW and resolve it deliberately.</w:t>
            </w:r>
          </w:p>
        </w:tc>
      </w:tr>
    </w:tbl>
    <w:sectPr w:rsidR="00FC693F" w:rsidRPr="0006063C" w:rsidSect="00034616">
      <w:pgSz w:w="12240" w:h="158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