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color w:val="011F5F"/>
        </w:rPr>
        <w:t xml:space="preserve">AI Readiness Assessment — Demo Answer Scripts</w:t>
      </w:r>
    </w:p>
    <w:p>
      <w:pPr>
        <w:spacing w:after="240"/>
      </w:pPr>
      <w:r>
        <w:rPr>
          <w:rFonts w:ascii="Helvetica" w:hAnsi="Helvetica" w:cs="Helvetica"/>
          <w:sz w:val="24"/>
          <w:sz-cs w:val="24"/>
          <w:i/>
          <w:spacing w:val="0"/>
          <w:color w:val="384057"/>
        </w:rPr>
        <w:t xml:space="preserve">For demonstrations of the AI Use Case Scoping &amp; Readiness Assessment (Beta). Two separate walk-throughs: Demo 1 runs the </w:t>
      </w:r>
      <w:r>
        <w:rPr>
          <w:rFonts w:ascii="Helvetica" w:hAnsi="Helvetica" w:cs="Helvetica"/>
          <w:sz w:val="24"/>
          <w:sz-cs w:val="24"/>
          <w:b/>
          <w:i/>
          <w:spacing w:val="0"/>
          <w:color w:val="384057"/>
        </w:rPr>
        <w:t xml:space="preserve">Brainstorm</w:t>
      </w:r>
      <w:r>
        <w:rPr>
          <w:rFonts w:ascii="Helvetica" w:hAnsi="Helvetica" w:cs="Helvetica"/>
          <w:sz w:val="24"/>
          <w:sz-cs w:val="24"/>
          <w:i/>
          <w:spacing w:val="0"/>
          <w:color w:val="384057"/>
        </w:rPr>
        <w:t xml:space="preserve"> with an immunization use case; Demo 2 runs the </w:t>
      </w:r>
      <w:r>
        <w:rPr>
          <w:rFonts w:ascii="Helvetica" w:hAnsi="Helvetica" w:cs="Helvetica"/>
          <w:sz w:val="24"/>
          <w:sz-cs w:val="24"/>
          <w:b/>
          <w:i/>
          <w:spacing w:val="0"/>
          <w:color w:val="384057"/>
        </w:rPr>
        <w:t xml:space="preserve">Diagnostic</w:t>
      </w:r>
      <w:r>
        <w:rPr>
          <w:rFonts w:ascii="Helvetica" w:hAnsi="Helvetica" w:cs="Helvetica"/>
          <w:sz w:val="24"/>
          <w:sz-cs w:val="24"/>
          <w:i/>
          <w:spacing w:val="0"/>
          <w:color w:val="384057"/>
        </w:rPr>
        <w:t xml:space="preserve"> with the CRVS verbal-autopsy use case from the instrument document. Type or paste the answers as written, or improvise around them. Prepared September 2026; answers drawn from the instrument's illustrative examples.</w:t>
      </w:r>
    </w:p>
    <w:p>
      <w:pPr>
        <w:spacing w:after="298"/>
      </w:pPr>
      <w:r>
        <w:rPr>
          <w:rFonts w:ascii="Helvetica" w:hAnsi="Helvetica" w:cs="Helvetica"/>
          <w:sz w:val="36"/>
          <w:sz-cs w:val="36"/>
          <w:b/>
          <w:spacing w:val="0"/>
          <w:color w:val="011F5F"/>
        </w:rPr>
        <w:t xml:space="preserve">Demo 1 — Brainstorm (~10 minutes)</w:t>
      </w:r>
    </w:p>
    <w:p>
      <w:pPr>
        <w:spacing w:after="240"/>
      </w:pPr>
      <w:r>
        <w:rPr>
          <w:rFonts w:ascii="Helvetica" w:hAnsi="Helvetica" w:cs="Helvetica"/>
          <w:sz w:val="24"/>
          <w:sz-cs w:val="24"/>
          <w:b/>
          <w:spacing w:val="0"/>
          <w:color w:val="141720"/>
        </w:rPr>
        <w:t xml:space="preserve">Working title:</w:t>
      </w:r>
      <w:r>
        <w:rPr>
          <w:rFonts w:ascii="Helvetica" w:hAnsi="Helvetica" w:cs="Helvetica"/>
          <w:sz w:val="24"/>
          <w:sz-cs w:val="24"/>
          <w:spacing w:val="0"/>
          <w:color w:val="141720"/>
        </w:rPr>
        <w:t xml:space="preserve"> Vaccination no-show prediction</w:t>
      </w:r>
    </w:p>
    <w:p>
      <w:pPr>
        <w:spacing w:after="280"/>
      </w:pPr>
      <w:r>
        <w:rPr>
          <w:rFonts w:ascii="Helvetica" w:hAnsi="Helvetica" w:cs="Helvetica"/>
          <w:sz w:val="28"/>
          <w:sz-cs w:val="28"/>
          <w:b/>
          <w:spacing w:val="0"/>
          <w:color w:val="2E62A9"/>
        </w:rPr>
        <w:t xml:space="preserve">Section 1 · Use case definition</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Describe the use case</w:t>
      </w:r>
    </w:p>
    <w:p>
      <w:pPr/>
      <w:r>
        <w:rPr>
          <w:rFonts w:ascii="Helvetica" w:hAnsi="Helvetica" w:cs="Helvetica"/>
          <w:sz w:val="28"/>
          <w:sz-cs w:val="28"/>
          <w:spacing w:val="0"/>
          <w:color w:val="141720"/>
        </w:rPr>
        <w:t xml:space="preserve">We want to predict which children are likely to miss their next vaccination appointment, using visit history from the electronic immunization registry. The tool would flag high-risk children weekly so community health workers can contact caregivers before the appointment is missed.</w:t>
      </w:r>
    </w:p>
    <w:p>
      <w:pPr/>
      <w:r>
        <w:rPr>
          <w:rFonts w:ascii="Helvetica" w:hAnsi="Helvetica" w:cs="Helvetica"/>
          <w:sz w:val="28"/>
          <w:sz-cs w:val="28"/>
          <w:spacing w:val="0"/>
          <w:color w:val="141720"/>
        </w:rPr>
        <w:t xml:space="preserve">How is this process handled today? What are the pain points?</w:t>
      </w:r>
    </w:p>
    <w:p>
      <w:pPr/>
      <w:r>
        <w:rPr>
          <w:rFonts w:ascii="Helvetica" w:hAnsi="Helvetica" w:cs="Helvetica"/>
          <w:sz w:val="28"/>
          <w:sz-cs w:val="28"/>
          <w:spacing w:val="0"/>
          <w:color w:val="141720"/>
        </w:rPr>
        <w:t xml:space="preserve">Current process: after each clinic day a nurse updates the paper defaulter register; weekly reminder lists go to the outreach team.</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Time taken: compiling lists by hand takes 2–3 hours per clinic per week.</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Quality issues: about a quarter of defaulting children are never followed up because they're identified too late.</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Data limitations: many caregiver phone numbers are stale.</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Coordination challenges: clinics and outreach teams keep separate lists, reconciled only monthly. </w:t>
      </w:r>
      <w:r>
        <w:rPr>
          <w:rFonts w:ascii="Helvetica" w:hAnsi="Helvetica" w:cs="Helvetica"/>
          <w:sz w:val="28"/>
          <w:sz-cs w:val="28"/>
          <w:i/>
          <w:spacing w:val="0"/>
          <w:color w:val="141720"/>
        </w:rPr>
        <w:t xml:space="preserve">(Tip: tap the suggestion chips to insert these headings.)</w:t>
      </w: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Why AI instead of a rule-based solution?</w:t>
      </w:r>
    </w:p>
    <w:p>
      <w:pPr/>
      <w:r>
        <w:rPr>
          <w:rFonts w:ascii="Helvetica" w:hAnsi="Helvetica" w:cs="Helvetica"/>
          <w:sz w:val="28"/>
          <w:sz-cs w:val="28"/>
          <w:spacing w:val="0"/>
          <w:color w:val="141720"/>
        </w:rPr>
        <w:t xml:space="preserve">Whether a child misses a visit depends on many interacting factors — distance, season, caregiver work schedule, past attendance, family size. Fixed rules like "flag anyone two weeks late" only catch defaulters after the fact; a model trained on historical visits can rank risk before the appointment.</w:t>
      </w:r>
    </w:p>
    <w:p>
      <w:pPr/>
      <w:r>
        <w:rPr>
          <w:rFonts w:ascii="Helvetica" w:hAnsi="Helvetica" w:cs="Helvetica"/>
          <w:sz w:val="28"/>
          <w:sz-cs w:val="28"/>
          <w:spacing w:val="0"/>
          <w:color w:val="141720"/>
        </w:rPr>
        <w:t xml:space="preserve">Who are the primary users?</w:t>
      </w:r>
    </w:p>
    <w:p>
      <w:pPr/>
      <w:r>
        <w:rPr>
          <w:rFonts w:ascii="Helvetica" w:hAnsi="Helvetica" w:cs="Helvetica"/>
          <w:sz w:val="28"/>
          <w:sz-cs w:val="28"/>
          <w:spacing w:val="0"/>
          <w:color w:val="141720"/>
        </w:rPr>
        <w:t xml:space="preserve">Clinic nurses (compile lists, vaccinate), community health workers (calls and home visits), the district data officer (registry and reports), and the EPI program manager (reads coverage reports).</w:t>
      </w:r>
    </w:p>
    <w:p>
      <w:pPr/>
      <w:r>
        <w:rPr>
          <w:rFonts w:ascii="Helvetica" w:hAnsi="Helvetica" w:cs="Helvetica"/>
          <w:sz w:val="28"/>
          <w:sz-cs w:val="28"/>
          <w:spacing w:val="0"/>
          <w:color w:val="141720"/>
        </w:rPr>
        <w:t xml:space="preserve">Regulatory, budget, and technical constraints?</w:t>
      </w:r>
    </w:p>
    <w:p>
      <w:pPr/>
      <w:r>
        <w:rPr>
          <w:rFonts w:ascii="Helvetica" w:hAnsi="Helvetica" w:cs="Helvetica"/>
          <w:sz w:val="28"/>
          <w:sz-cs w:val="28"/>
          <w:spacing w:val="0"/>
          <w:color w:val="141720"/>
        </w:rPr>
        <w:t xml:space="preserve">Regulatory: the registry holds identifiable child records under national health-data rules.</w:t>
      </w:r>
    </w:p>
    <w:p>
      <w:pPr/>
      <w:r>
        <w:rPr>
          <w:rFonts w:ascii="Helvetica" w:hAnsi="Helvetica" w:cs="Helvetica"/>
          <w:sz w:val="28"/>
          <w:sz-cs w:val="28"/>
          <w:spacing w:val="0"/>
          <w:color w:val="141720"/>
        </w:rPr>
        <w:t xml:space="preserve">Budgetary: funded from the annual EPI budget; no dedicated AI line.</w:t>
      </w:r>
    </w:p>
    <w:p>
      <w:pPr/>
      <w:r>
        <w:rPr>
          <w:rFonts w:ascii="Helvetica" w:hAnsi="Helvetica" w:cs="Helvetica"/>
          <w:sz w:val="28"/>
          <w:sz-cs w:val="28"/>
          <w:spacing w:val="0"/>
          <w:color w:val="141720"/>
        </w:rPr>
        <w:t xml:space="preserve">Institutional: sign-off needed from the EPI program and the district health office.</w:t>
      </w:r>
    </w:p>
    <w:p>
      <w:pPr/>
      <w:r>
        <w:rPr>
          <w:rFonts w:ascii="Helvetica" w:hAnsi="Helvetica" w:cs="Helvetica"/>
          <w:sz w:val="28"/>
          <w:sz-cs w:val="28"/>
          <w:spacing w:val="0"/>
          <w:color w:val="141720"/>
        </w:rPr>
        <w:t xml:space="preserve">Technical: the registry runs on DHIS2 and must be read without modification.</w:t>
      </w:r>
    </w:p>
    <w:p>
      <w:pPr/>
      <w:r>
        <w:rPr>
          <w:rFonts w:ascii="Helvetica" w:hAnsi="Helvetica" w:cs="Helvetica"/>
          <w:sz w:val="28"/>
          <w:sz-cs w:val="28"/>
          <w:spacing w:val="0"/>
          <w:color w:val="141720"/>
        </w:rPr>
        <w:t xml:space="preserve">Staffing: one data officer per district; no in-house data scientists.</w:t>
      </w:r>
    </w:p>
    <w:p>
      <w:pPr/>
      <w:r>
        <w:rPr>
          <w:rFonts w:ascii="Helvetica" w:hAnsi="Helvetica" w:cs="Helvetica"/>
          <w:sz w:val="28"/>
          <w:sz-cs w:val="28"/>
          <w:spacing w:val="0"/>
          <w:color w:val="141720"/>
        </w:rPr>
        <w:t xml:space="preserve">How will you measure success?</w:t>
      </w:r>
    </w:p>
    <w:p>
      <w:pPr/>
      <w:r>
        <w:rPr>
          <w:rFonts w:ascii="Helvetica" w:hAnsi="Helvetica" w:cs="Helvetica"/>
          <w:sz w:val="28"/>
          <w:sz-cs w:val="28"/>
          <w:spacing w:val="0"/>
          <w:color w:val="141720"/>
        </w:rPr>
        <w:t xml:space="preserve">Full immunization by 12 months up from 78% to 90% within two years (quarterly, from the registry); defaulter rate per cohort down from 22% to under 10%; at least 80% of flagged children actually receiving a follow-up call (monthly, from outreach logs).</w:t>
      </w:r>
    </w:p>
    <w:p>
      <w:pPr>
        <w:spacing w:after="280"/>
      </w:pPr>
      <w:r>
        <w:rPr>
          <w:rFonts w:ascii="Helvetica" w:hAnsi="Helvetica" w:cs="Helvetica"/>
          <w:sz w:val="28"/>
          <w:sz-cs w:val="28"/>
          <w:b/>
          <w:spacing w:val="0"/>
          <w:color w:val="2E62A9"/>
        </w:rPr>
        <w:t xml:space="preserve">Section 2 · Workflow and scope validation</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Complete end-to-end workflow?</w:t>
      </w:r>
    </w:p>
    <w:p>
      <w:pPr/>
      <w:r>
        <w:rPr>
          <w:rFonts w:ascii="Helvetica" w:hAnsi="Helvetica" w:cs="Helvetica"/>
          <w:sz w:val="28"/>
          <w:sz-cs w:val="28"/>
          <w:spacing w:val="0"/>
          <w:color w:val="141720"/>
        </w:rPr>
        <w:t xml:space="preserve">1) Weekly registry refresh feeds the tool. 2) The tool scores every upcoming appointment. 3) Nurses review a ranked list and choose whom to contact. 4) Attended/missed outcomes are logged back and feed next week's scores.</w:t>
      </w:r>
    </w:p>
    <w:p>
      <w:pPr/>
      <w:r>
        <w:rPr>
          <w:rFonts w:ascii="Helvetica" w:hAnsi="Helvetica" w:cs="Helvetica"/>
          <w:sz w:val="28"/>
          <w:sz-cs w:val="28"/>
          <w:spacing w:val="0"/>
          <w:color w:val="141720"/>
        </w:rPr>
        <w:t xml:space="preserve">Can it be decomposed into smaller use cases?</w:t>
      </w:r>
    </w:p>
    <w:p>
      <w:pPr/>
      <w:r>
        <w:rPr>
          <w:rFonts w:ascii="Helvetica" w:hAnsi="Helvetica" w:cs="Helvetica"/>
          <w:sz w:val="28"/>
          <w:sz-cs w:val="28"/>
          <w:spacing w:val="0"/>
          <w:color w:val="141720"/>
        </w:rPr>
        <w:t xml:space="preserve">Yes — prediction, outreach-list drafting, and outcome logging are separable. Prediction alone would be a valuable first version.</w:t>
      </w:r>
    </w:p>
    <w:p>
      <w:pPr/>
      <w:r>
        <w:rPr>
          <w:rFonts w:ascii="Helvetica" w:hAnsi="Helvetica" w:cs="Helvetica"/>
          <w:sz w:val="28"/>
          <w:sz-cs w:val="28"/>
          <w:spacing w:val="0"/>
          <w:color w:val="141720"/>
        </w:rPr>
        <w:t xml:space="preserve">Dependencies between stages?</w:t>
      </w:r>
    </w:p>
    <w:p>
      <w:pPr/>
      <w:r>
        <w:rPr>
          <w:rFonts w:ascii="Helvetica" w:hAnsi="Helvetica" w:cs="Helvetica"/>
          <w:sz w:val="28"/>
          <w:sz-cs w:val="28"/>
          <w:spacing w:val="0"/>
          <w:color w:val="141720"/>
        </w:rPr>
        <w:t xml:space="preserve">Scoring needs the weekly refresh; the list depends on the scores; next week's accuracy depends on outcomes being logged. If outcome logging slips, prediction quality degrades within weeks.</w:t>
      </w:r>
    </w:p>
    <w:p>
      <w:pPr>
        <w:spacing w:after="280"/>
      </w:pPr>
      <w:r>
        <w:rPr>
          <w:rFonts w:ascii="Helvetica" w:hAnsi="Helvetica" w:cs="Helvetica"/>
          <w:sz w:val="28"/>
          <w:sz-cs w:val="28"/>
          <w:b/>
          <w:spacing w:val="0"/>
          <w:color w:val="2E62A9"/>
        </w:rPr>
        <w:t xml:space="preserve">Section 3 · AI application</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AI capability required?</w:t>
      </w:r>
    </w:p>
    <w:p>
      <w:pPr/>
      <w:r>
        <w:rPr>
          <w:rFonts w:ascii="Helvetica" w:hAnsi="Helvetica" w:cs="Helvetica"/>
          <w:sz w:val="28"/>
          <w:sz-cs w:val="28"/>
          <w:spacing w:val="0"/>
          <w:color w:val="141720"/>
        </w:rPr>
        <w:t xml:space="preserve">Prediction — for each upcoming appointment, the likelihood the child will miss it.</w:t>
      </w:r>
    </w:p>
    <w:p>
      <w:pPr/>
      <w:r>
        <w:rPr>
          <w:rFonts w:ascii="Helvetica" w:hAnsi="Helvetica" w:cs="Helvetica"/>
          <w:sz w:val="28"/>
          <w:sz-cs w:val="28"/>
          <w:spacing w:val="0"/>
          <w:color w:val="141720"/>
        </w:rPr>
        <w:t xml:space="preserve">Input data?</w:t>
      </w:r>
    </w:p>
    <w:p>
      <w:pPr/>
      <w:r>
        <w:rPr>
          <w:rFonts w:ascii="Helvetica" w:hAnsi="Helvetica" w:cs="Helvetica"/>
          <w:sz w:val="28"/>
          <w:sz-cs w:val="28"/>
          <w:spacing w:val="0"/>
          <w:color w:val="141720"/>
        </w:rPr>
        <w:t xml:space="preserve">The electronic immunization registry: one row per child per scheduled visit (demographics, attendance history, distance to clinic), refreshed weekly, roughly 40,000 active records per district.</w:t>
      </w:r>
    </w:p>
    <w:p>
      <w:pPr/>
      <w:r>
        <w:rPr>
          <w:rFonts w:ascii="Helvetica" w:hAnsi="Helvetica" w:cs="Helvetica"/>
          <w:sz w:val="28"/>
          <w:sz-cs w:val="28"/>
          <w:spacing w:val="0"/>
          <w:color w:val="141720"/>
        </w:rPr>
        <w:t xml:space="preserve">Expected output?</w:t>
      </w:r>
    </w:p>
    <w:p>
      <w:pPr/>
      <w:r>
        <w:rPr>
          <w:rFonts w:ascii="Helvetica" w:hAnsi="Helvetica" w:cs="Helvetica"/>
          <w:sz w:val="28"/>
          <w:sz-cs w:val="28"/>
          <w:spacing w:val="0"/>
          <w:color w:val="141720"/>
        </w:rPr>
        <w:t xml:space="preserve">A ranked weekly list of high-risk children with the main risk factors beside each name.</w:t>
      </w:r>
    </w:p>
    <w:p>
      <w:pPr/>
      <w:r>
        <w:rPr>
          <w:rFonts w:ascii="Helvetica" w:hAnsi="Helvetica" w:cs="Helvetica"/>
          <w:sz w:val="28"/>
          <w:sz-cs w:val="28"/>
          <w:spacing w:val="0"/>
          <w:color w:val="141720"/>
        </w:rPr>
        <w:t xml:space="preserve">Where does human review occur?</w:t>
      </w:r>
    </w:p>
    <w:p>
      <w:pPr/>
      <w:r>
        <w:rPr>
          <w:rFonts w:ascii="Helvetica" w:hAnsi="Helvetica" w:cs="Helvetica"/>
          <w:sz w:val="28"/>
          <w:sz-cs w:val="28"/>
          <w:spacing w:val="0"/>
          <w:color w:val="141720"/>
        </w:rPr>
        <w:t xml:space="preserve">Nurses decide who is actually contacted — the tool proposes, staff decide. No family is contacted automatically.</w:t>
      </w:r>
    </w:p>
    <w:p>
      <w:pPr>
        <w:spacing w:after="280"/>
      </w:pPr>
      <w:r>
        <w:rPr>
          <w:rFonts w:ascii="Helvetica" w:hAnsi="Helvetica" w:cs="Helvetica"/>
          <w:sz w:val="28"/>
          <w:sz-cs w:val="28"/>
          <w:b/>
          <w:spacing w:val="0"/>
          <w:color w:val="2E62A9"/>
        </w:rPr>
        <w:t xml:space="preserve">Section 4 · Data requirements</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Historical data? Labeled?</w:t>
      </w:r>
    </w:p>
    <w:p>
      <w:pPr/>
      <w:r>
        <w:rPr>
          <w:rFonts w:ascii="Helvetica" w:hAnsi="Helvetica" w:cs="Helvetica"/>
          <w:sz w:val="28"/>
          <w:sz-cs w:val="28"/>
          <w:spacing w:val="0"/>
          <w:color w:val="141720"/>
        </w:rPr>
        <w:t xml:space="preserve">Six years of visit records; every scheduled appointment already has an attended/missed outcome, so the data is naturally labeled.</w:t>
      </w:r>
    </w:p>
    <w:p>
      <w:pPr/>
      <w:r>
        <w:rPr>
          <w:rFonts w:ascii="Helvetica" w:hAnsi="Helvetica" w:cs="Helvetica"/>
          <w:sz w:val="28"/>
          <w:sz-cs w:val="28"/>
          <w:spacing w:val="0"/>
          <w:color w:val="141720"/>
        </w:rPr>
        <w:t xml:space="preserve">Data quality?</w:t>
      </w:r>
    </w:p>
    <w:p>
      <w:pPr/>
      <w:r>
        <w:rPr>
          <w:rFonts w:ascii="Helvetica" w:hAnsi="Helvetica" w:cs="Helvetica"/>
          <w:sz w:val="28"/>
          <w:sz-cs w:val="28"/>
          <w:spacing w:val="0"/>
          <w:color w:val="141720"/>
        </w:rPr>
        <w:t xml:space="preserve">Attendance history is reliable, but about a fifth of caregiver phone numbers are stale and children who moved districts can appear twice.</w:t>
      </w:r>
    </w:p>
    <w:p>
      <w:pPr/>
      <w:r>
        <w:rPr>
          <w:rFonts w:ascii="Helvetica" w:hAnsi="Helvetica" w:cs="Helvetica"/>
          <w:sz w:val="28"/>
          <w:sz-cs w:val="28"/>
          <w:spacing w:val="0"/>
          <w:color w:val="141720"/>
        </w:rPr>
        <w:t xml:space="preserve">Governance requirements?</w:t>
      </w:r>
    </w:p>
    <w:p>
      <w:pPr/>
      <w:r>
        <w:rPr>
          <w:rFonts w:ascii="Helvetica" w:hAnsi="Helvetica" w:cs="Helvetica"/>
          <w:sz w:val="28"/>
          <w:sz-cs w:val="28"/>
          <w:spacing w:val="0"/>
          <w:color w:val="141720"/>
        </w:rPr>
        <w:t xml:space="preserve">Identifiable child records under national health-data rules; EPI approval required; data cannot leave government infrastructure.</w:t>
      </w:r>
    </w:p>
    <w:p>
      <w:pPr/>
      <w:r>
        <w:rPr>
          <w:rFonts w:ascii="Helvetica" w:hAnsi="Helvetica" w:cs="Helvetica"/>
          <w:sz w:val="28"/>
          <w:sz-cs w:val="28"/>
          <w:spacing w:val="0"/>
          <w:color w:val="141720"/>
        </w:rPr>
        <w:t xml:space="preserve">Integration points?</w:t>
      </w:r>
    </w:p>
    <w:p>
      <w:pPr/>
      <w:r>
        <w:rPr>
          <w:rFonts w:ascii="Helvetica" w:hAnsi="Helvetica" w:cs="Helvetica"/>
          <w:sz w:val="28"/>
          <w:sz-cs w:val="28"/>
          <w:spacing w:val="0"/>
          <w:color w:val="141720"/>
        </w:rPr>
        <w:t xml:space="preserve">Weekly batch is enough — read a weekly export, return the risk list before Monday clinics. Nothing needs to be real-time.</w:t>
      </w:r>
    </w:p>
    <w:p>
      <w:pPr>
        <w:spacing w:after="240"/>
      </w:pPr>
      <w:r>
        <w:rPr>
          <w:rFonts w:ascii="Helvetica" w:hAnsi="Helvetica" w:cs="Helvetica"/>
          <w:sz w:val="24"/>
          <w:sz-cs w:val="24"/>
          <w:i/>
          <w:spacing w:val="0"/>
          <w:color w:val="384057"/>
        </w:rPr>
        <w:t xml:space="preserve">End of Brainstorm: show the compiled transcript, the Print/Save-as-PDF button, and Mark complete. Optionally mark one question "I don't know" mid-demo to show it appearing in the "To find out" list.</w:t>
      </w:r>
    </w:p>
    <w:p>
      <w:pPr>
        <w:spacing w:after="298"/>
      </w:pPr>
      <w:r>
        <w:rPr>
          <w:rFonts w:ascii="Helvetica" w:hAnsi="Helvetica" w:cs="Helvetica"/>
          <w:sz w:val="36"/>
          <w:sz-cs w:val="36"/>
          <w:b/>
          <w:spacing w:val="0"/>
          <w:color w:val="011F5F"/>
        </w:rPr>
        <w:t xml:space="preserve">Demo 2 — Diagnostic (~25 minutes at demo pace)</w:t>
      </w:r>
    </w:p>
    <w:p>
      <w:pPr>
        <w:spacing w:after="240"/>
      </w:pPr>
      <w:r>
        <w:rPr>
          <w:rFonts w:ascii="Helvetica" w:hAnsi="Helvetica" w:cs="Helvetica"/>
          <w:sz w:val="24"/>
          <w:sz-cs w:val="24"/>
          <w:b/>
          <w:spacing w:val="0"/>
          <w:color w:val="141720"/>
        </w:rPr>
        <w:t xml:space="preserve">Working title:</w:t>
      </w:r>
      <w:r>
        <w:rPr>
          <w:rFonts w:ascii="Helvetica" w:hAnsi="Helvetica" w:cs="Helvetica"/>
          <w:sz w:val="24"/>
          <w:sz-cs w:val="24"/>
          <w:spacing w:val="0"/>
          <w:color w:val="141720"/>
        </w:rPr>
        <w:t xml:space="preserve"> Verbal autopsy cause-of-death coding</w:t>
      </w:r>
    </w:p>
    <w:p>
      <w:pPr>
        <w:spacing w:after="280"/>
      </w:pPr>
      <w:r>
        <w:rPr>
          <w:rFonts w:ascii="Helvetica" w:hAnsi="Helvetica" w:cs="Helvetica"/>
          <w:sz w:val="28"/>
          <w:sz-cs w:val="28"/>
          <w:b/>
          <w:spacing w:val="0"/>
          <w:color w:val="2E62A9"/>
        </w:rPr>
        <w:t xml:space="preserve">Section A · Scope of the problem (broad)</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A1 — Describe the use case</w:t>
      </w:r>
    </w:p>
    <w:p>
      <w:pPr/>
      <w:r>
        <w:rPr>
          <w:rFonts w:ascii="Helvetica" w:hAnsi="Helvetica" w:cs="Helvetica"/>
          <w:sz w:val="28"/>
          <w:sz-cs w:val="28"/>
          <w:spacing w:val="0"/>
          <w:color w:val="141720"/>
        </w:rPr>
        <w:t xml:space="preserve">After a death in the community, we want to suggest the most likely cause of death from completed verbal autopsy forms. The system reads the symptoms and circumstances recorded by community health workers and proposes an ICD-10 code; a trained health officer confirms or overrides it before it enters the national death register.</w:t>
      </w:r>
    </w:p>
    <w:p>
      <w:pPr/>
      <w:r>
        <w:rPr>
          <w:rFonts w:ascii="Helvetica" w:hAnsi="Helvetica" w:cs="Helvetica"/>
          <w:sz w:val="28"/>
          <w:sz-cs w:val="28"/>
          <w:spacing w:val="0"/>
          <w:color w:val="141720"/>
        </w:rPr>
        <w:t xml:space="preserve">A2 — Main challenges or pain points</w:t>
      </w:r>
    </w:p>
    <w:p>
      <w:pPr/>
      <w:r>
        <w:rPr>
          <w:rFonts w:ascii="Helvetica" w:hAnsi="Helvetica" w:cs="Helvetica"/>
          <w:sz w:val="28"/>
          <w:sz-cs w:val="28"/>
          <w:spacing w:val="0"/>
          <w:color w:val="141720"/>
        </w:rPr>
        <w:t xml:space="preserve">Time taken: 47 days on average from interview to coded record; over 90 days after outbreaks.</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Staff workload: 12 coders handle ~32,000 records a year across 47 districts; two posts vacant for 18 months.</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Quality issues: an audit found an 18% miscoding rate, concentrated in clinically similar causes.</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Data limitations: ~15% of rural forms still paper-only; 23% of digital records missing the deceased's age.</w:t>
      </w:r>
    </w:p>
    <w:p>
      <w:pPr/>
      <w:r>
        <w:rPr>
          <w:rFonts w:ascii="Helvetica" w:hAnsi="Helvetica" w:cs="Helvetica"/>
          <w:sz w:val="28"/>
          <w:sz-cs w:val="28"/>
          <w:spacing w:val="0"/>
          <w:color w:val="141720"/>
        </w:rPr>
        <w:t xml:space="preserve"/>
      </w:r>
    </w:p>
    <w:p>
      <w:pPr/>
      <w:r>
        <w:rPr>
          <w:rFonts w:ascii="Helvetica" w:hAnsi="Helvetica" w:cs="Helvetica"/>
          <w:sz w:val="28"/>
          <w:sz-cs w:val="28"/>
          <w:spacing w:val="0"/>
          <w:color w:val="141720"/>
        </w:rPr>
        <w:t xml:space="preserve">Coordination challenges: districts can't see the central coding queue and there's no way to query unclear forms.</w:t>
      </w:r>
    </w:p>
    <w:p>
      <w:pPr/>
      <w:r>
        <w:rPr>
          <w:rFonts w:ascii="Helvetica" w:hAnsi="Helvetica" w:cs="Helvetica"/>
          <w:sz w:val="28"/>
          <w:sz-cs w:val="28"/>
          <w:spacing w:val="0"/>
          <w:color w:val="141720"/>
        </w:rPr>
        <w:t xml:space="preserve">A3 — Why AI instead of rule-based tools</w:t>
      </w:r>
    </w:p>
    <w:p>
      <w:pPr/>
      <w:r>
        <w:rPr>
          <w:rFonts w:ascii="Helvetica" w:hAnsi="Helvetica" w:cs="Helvetica"/>
          <w:sz w:val="28"/>
          <w:sz-cs w:val="28"/>
          <w:spacing w:val="0"/>
          <w:color w:val="141720"/>
        </w:rPr>
        <w:t xml:space="preserve">The link between reported symptoms and cause of death is too complex for fixed rules — fever plus difficulty breathing could be malaria, pneumonia, TB, heart failure, or sepsis depending on age, location, season, and symptom progression. A rules engine would need thousands of nested conditions and would fail on edge cases. SmartVA has already shown the AI approach works in comparable settings.</w:t>
      </w:r>
    </w:p>
    <w:p>
      <w:pPr/>
      <w:r>
        <w:rPr>
          <w:rFonts w:ascii="Helvetica" w:hAnsi="Helvetica" w:cs="Helvetica"/>
          <w:sz w:val="28"/>
          <w:sz-cs w:val="28"/>
          <w:spacing w:val="0"/>
          <w:color w:val="141720"/>
        </w:rPr>
        <w:t xml:space="preserve">A4 — Constraints</w:t>
      </w:r>
    </w:p>
    <w:p>
      <w:pPr/>
      <w:r>
        <w:rPr>
          <w:rFonts w:ascii="Helvetica" w:hAnsi="Helvetica" w:cs="Helvetica"/>
          <w:sz w:val="28"/>
          <w:sz-cs w:val="28"/>
          <w:spacing w:val="0"/>
          <w:color w:val="141720"/>
        </w:rPr>
        <w:t xml:space="preserve">Regulatory: cause-of-death records are sensitive health data; National Data Protection Authority approval required, and sharing identified records externally needs a data processing agreement and ministerial sign-off.</w:t>
      </w:r>
    </w:p>
    <w:p>
      <w:pPr/>
      <w:r>
        <w:rPr>
          <w:rFonts w:ascii="Helvetica" w:hAnsi="Helvetica" w:cs="Helvetica"/>
          <w:sz w:val="28"/>
          <w:sz-cs w:val="28"/>
          <w:spacing w:val="0"/>
          <w:color w:val="141720"/>
        </w:rPr>
        <w:t xml:space="preserve">Budgetary: two-year donor grant ends December 2026; no confirmed government budget afterwards.</w:t>
      </w:r>
    </w:p>
    <w:p>
      <w:pPr/>
      <w:r>
        <w:rPr>
          <w:rFonts w:ascii="Helvetica" w:hAnsi="Helvetica" w:cs="Helvetica"/>
          <w:sz w:val="28"/>
          <w:sz-cs w:val="28"/>
          <w:spacing w:val="0"/>
          <w:color w:val="141720"/>
        </w:rPr>
        <w:t xml:space="preserve">Institutional: Ministry of Health and the Civil Registration Authority both must endorse the tool.</w:t>
      </w:r>
    </w:p>
    <w:p>
      <w:pPr/>
      <w:r>
        <w:rPr>
          <w:rFonts w:ascii="Helvetica" w:hAnsi="Helvetica" w:cs="Helvetica"/>
          <w:sz w:val="28"/>
          <w:sz-cs w:val="28"/>
          <w:spacing w:val="0"/>
          <w:color w:val="141720"/>
        </w:rPr>
        <w:t xml:space="preserve">Technical: the registration database is a legacy platform with no public API.</w:t>
      </w:r>
    </w:p>
    <w:p>
      <w:pPr/>
      <w:r>
        <w:rPr>
          <w:rFonts w:ascii="Helvetica" w:hAnsi="Helvetica" w:cs="Helvetica"/>
          <w:sz w:val="28"/>
          <w:sz-cs w:val="28"/>
          <w:spacing w:val="0"/>
          <w:color w:val="141720"/>
        </w:rPr>
        <w:t xml:space="preserve">Staffing: two data scientists, both on short-term contracts.</w:t>
      </w:r>
    </w:p>
    <w:p>
      <w:pPr/>
      <w:r>
        <w:rPr>
          <w:rFonts w:ascii="Helvetica" w:hAnsi="Helvetica" w:cs="Helvetica"/>
          <w:sz w:val="28"/>
          <w:sz-cs w:val="28"/>
          <w:spacing w:val="0"/>
          <w:color w:val="141720"/>
        </w:rPr>
        <w:t xml:space="preserve">A5 — Success measures</w:t>
      </w:r>
    </w:p>
    <w:p>
      <w:pPr/>
      <w:r>
        <w:rPr>
          <w:rFonts w:ascii="Helvetica" w:hAnsi="Helvetica" w:cs="Helvetica"/>
          <w:sz w:val="28"/>
          <w:sz-cs w:val="28"/>
          <w:spacing w:val="0"/>
          <w:color w:val="141720"/>
        </w:rPr>
        <w:t xml:space="preserve">Coding time from 47 days to 7–10 days (monthly); deaths coded within 30 days up from 61% to 80%+ (quarterly); miscoding down from 18% to under 5% against specialist review of 200 records per quarter; coder override rate stable below 15% (monthly).</w:t>
      </w:r>
    </w:p>
    <w:p>
      <w:pPr/>
      <w:r>
        <w:rPr>
          <w:rFonts w:ascii="Helvetica" w:hAnsi="Helvetica" w:cs="Helvetica"/>
          <w:sz w:val="28"/>
          <w:sz-cs w:val="28"/>
          <w:spacing w:val="0"/>
          <w:color w:val="141720"/>
        </w:rPr>
        <w:t xml:space="preserve">A6 — Business value and ROI</w:t>
      </w:r>
    </w:p>
    <w:p>
      <w:pPr/>
      <w:r>
        <w:rPr>
          <w:rFonts w:ascii="Helvetica" w:hAnsi="Helvetica" w:cs="Helvetica"/>
          <w:sz w:val="28"/>
          <w:sz-cs w:val="28"/>
          <w:spacing w:val="0"/>
          <w:color w:val="141720"/>
        </w:rPr>
        <w:t xml:space="preserve">Manual coding costs about $456,000/year (12 staff). AI-assisted coding is projected to need 4 staff for oversight — roughly $304,000/year saved. Against an estimated $180,000 first-year cost, ROI is ~69% in year one and over 150% by year three, reviewed at 6 and 12 months from finance and HR records.</w:t>
      </w:r>
    </w:p>
    <w:p>
      <w:pPr>
        <w:spacing w:after="280"/>
      </w:pPr>
      <w:r>
        <w:rPr>
          <w:rFonts w:ascii="Helvetica" w:hAnsi="Helvetica" w:cs="Helvetica"/>
          <w:sz w:val="28"/>
          <w:sz-cs w:val="28"/>
          <w:b/>
          <w:spacing w:val="0"/>
          <w:color w:val="2E62A9"/>
        </w:rPr>
        <w:t xml:space="preserve">Section B · Scope of the problem (in-depth)</w:t>
      </w:r>
    </w:p>
    <w:p>
      <w:pPr/>
      <w:r>
        <w:rPr>
          <w:rFonts w:ascii="Helvetica" w:hAnsi="Helvetica" w:cs="Helvetica"/>
          <w:sz w:val="28"/>
          <w:sz-cs w:val="28"/>
          <w:b/>
          <w:spacing w:val="0"/>
          <w:color w:val="141720"/>
        </w:rPr>
        <w:t xml:space="preserve">Question</w:t>
      </w:r>
    </w:p>
    <w:p>
      <w:pPr/>
      <w:r>
        <w:rPr>
          <w:rFonts w:ascii="Helvetica" w:hAnsi="Helvetica" w:cs="Helvetica"/>
          <w:sz w:val="28"/>
          <w:sz-cs w:val="28"/>
          <w:b/>
          <w:spacing w:val="0"/>
          <w:color w:val="141720"/>
        </w:rPr>
        <w:t xml:space="preserve">Suggested answer</w:t>
      </w:r>
    </w:p>
    <w:p>
      <w:pPr/>
      <w:r>
        <w:rPr>
          <w:rFonts w:ascii="Helvetica" w:hAnsi="Helvetica" w:cs="Helvetica"/>
          <w:sz w:val="28"/>
          <w:sz-cs w:val="28"/>
          <w:spacing w:val="0"/>
          <w:color w:val="141720"/>
        </w:rPr>
        <w:t xml:space="preserve">B1 — Current process</w:t>
      </w:r>
    </w:p>
    <w:p>
      <w:pPr/>
      <w:r>
        <w:rPr>
          <w:rFonts w:ascii="Helvetica" w:hAnsi="Helvetica" w:cs="Helvetica"/>
          <w:sz w:val="28"/>
          <w:sz-cs w:val="28"/>
          <w:spacing w:val="0"/>
          <w:color w:val="141720"/>
        </w:rPr>
        <w:t xml:space="preserve">A community health worker interviews the family within 7–14 days on a paper form; a district clerk types it into the national database (3–5 more days); the form joins a national queue where 12 central coders work through a backlog of ~8,000 forms per quarter and assign ICD-10 codes manually. Average total: 47 days.</w:t>
      </w:r>
    </w:p>
    <w:p>
      <w:pPr/>
      <w:r>
        <w:rPr>
          <w:rFonts w:ascii="Helvetica" w:hAnsi="Helvetica" w:cs="Helvetica"/>
          <w:sz w:val="28"/>
          <w:sz-cs w:val="28"/>
          <w:spacing w:val="0"/>
          <w:color w:val="141720"/>
        </w:rPr>
        <w:t xml:space="preserve">B2 — Current users</w:t>
      </w:r>
    </w:p>
    <w:p>
      <w:pPr/>
      <w:r>
        <w:rPr>
          <w:rFonts w:ascii="Helvetica" w:hAnsi="Helvetica" w:cs="Helvetica"/>
          <w:sz w:val="28"/>
          <w:sz-cs w:val="28"/>
          <w:spacing w:val="0"/>
          <w:color w:val="141720"/>
        </w:rPr>
        <w:t xml:space="preserve">~3,200 community health workers (varying literacy and digital skills); 47 district data entry clerks; 12 medical coders at headquarters trained in ICD-10; 47 district health officers using dashboards; 5–8 ministry statisticians who use the coded data downstream.</w:t>
      </w:r>
    </w:p>
    <w:p>
      <w:pPr/>
      <w:r>
        <w:rPr>
          <w:rFonts w:ascii="Helvetica" w:hAnsi="Helvetica" w:cs="Helvetica"/>
          <w:sz w:val="28"/>
          <w:sz-cs w:val="28"/>
          <w:spacing w:val="0"/>
          <w:color w:val="141720"/>
        </w:rPr>
        <w:t xml:space="preserve">B3 — Inputs and outputs per stage</w:t>
      </w:r>
    </w:p>
    <w:p>
      <w:pPr/>
      <w:r>
        <w:rPr>
          <w:rFonts w:ascii="Helvetica" w:hAnsi="Helvetica" w:cs="Helvetica"/>
          <w:sz w:val="28"/>
          <w:sz-cs w:val="28"/>
          <w:spacing w:val="0"/>
          <w:color w:val="141720"/>
        </w:rPr>
        <w:t xml:space="preserve">Stage 1, ingestion (field team): form uploaded as PDF/CSV → validated, deduplicated record pending coding. Stage 2, AI coding (system): validated record → suggested ICD-10 code with confidence score and rationale. Stage 3, human review (coding team): suggestions under 80% confidence routed to a coder → confirmed or overridden code, override reason logged. Stage 4, finalization (data management): confirmed code → written back to the register and included in monthly reporting.</w:t>
      </w:r>
    </w:p>
    <w:p>
      <w:pPr>
        <w:spacing w:after="280"/>
      </w:pPr>
      <w:r>
        <w:rPr>
          <w:rFonts w:ascii="Helvetica" w:hAnsi="Helvetica" w:cs="Helvetica"/>
          <w:sz w:val="28"/>
          <w:sz-cs w:val="28"/>
          <w:b/>
          <w:spacing w:val="0"/>
          <w:color w:val="2E62A9"/>
        </w:rPr>
        <w:t xml:space="preserve">Section C · AI summary</w:t>
      </w:r>
    </w:p>
    <w:p>
      <w:pPr>
        <w:spacing w:after="240"/>
      </w:pPr>
      <w:r>
        <w:rPr>
          <w:rFonts w:ascii="Helvetica" w:hAnsi="Helvetica" w:cs="Helvetica"/>
          <w:sz w:val="24"/>
          <w:sz-cs w:val="24"/>
          <w:spacing w:val="0"/>
          <w:color w:val="141720"/>
        </w:rPr>
        <w:t xml:space="preserve">The screen is a placeholder until the AI build step; when live, rate the summary </w:t>
      </w:r>
      <w:r>
        <w:rPr>
          <w:rFonts w:ascii="Helvetica" w:hAnsi="Helvetica" w:cs="Helvetica"/>
          <w:sz w:val="24"/>
          <w:sz-cs w:val="24"/>
          <w:b/>
          <w:spacing w:val="0"/>
          <w:color w:val="141720"/>
        </w:rPr>
        <w:t xml:space="preserve">Accurate</w:t>
      </w:r>
      <w:r>
        <w:rPr>
          <w:rFonts w:ascii="Helvetica" w:hAnsi="Helvetica" w:cs="Helvetica"/>
          <w:sz w:val="24"/>
          <w:sz-cs w:val="24"/>
          <w:spacing w:val="0"/>
          <w:color w:val="141720"/>
        </w:rPr>
        <w:t xml:space="preserve">.</w:t>
      </w:r>
    </w:p>
    <w:p>
      <w:pPr>
        <w:spacing w:after="280"/>
      </w:pPr>
      <w:r>
        <w:rPr>
          <w:rFonts w:ascii="Helvetica" w:hAnsi="Helvetica" w:cs="Helvetica"/>
          <w:sz w:val="28"/>
          <w:sz-cs w:val="28"/>
          <w:b/>
          <w:spacing w:val="0"/>
          <w:color w:val="2E62A9"/>
        </w:rPr>
        <w:t xml:space="preserve">Section D · Readiness ratings (24 statements)</w:t>
      </w:r>
    </w:p>
    <w:p>
      <w:pPr>
        <w:spacing w:after="240"/>
      </w:pPr>
      <w:r>
        <w:rPr>
          <w:rFonts w:ascii="Helvetica" w:hAnsi="Helvetica" w:cs="Helvetica"/>
          <w:sz w:val="24"/>
          <w:sz-cs w:val="24"/>
          <w:i/>
          <w:spacing w:val="0"/>
          <w:color w:val="384057"/>
        </w:rPr>
        <w:t xml:space="preserve">A deliberately mixed profile — strong on data volume and human oversight, weak on data quality and staffing — so the eventual results table shows all three colors. Click these:</w:t>
      </w:r>
    </w:p>
    <w:p>
      <w:pPr>
        <w:spacing w:after="280"/>
      </w:pPr>
      <w:r>
        <w:rPr>
          <w:rFonts w:ascii="Helvetica" w:hAnsi="Helvetica" w:cs="Helvetica"/>
          <w:sz w:val="28"/>
          <w:sz-cs w:val="28"/>
          <w:b/>
          <w:spacing w:val="0"/>
          <w:color w:val="2E62A9"/>
        </w:rPr>
        <w:t xml:space="preserve">D1 · Data readiness</w:t>
      </w:r>
    </w:p>
    <w:p>
      <w:pPr/>
      <w:r>
        <w:rPr>
          <w:rFonts w:ascii="Helvetica" w:hAnsi="Helvetica" w:cs="Helvetica"/>
          <w:sz w:val="28"/>
          <w:sz-cs w:val="28"/>
          <w:b/>
          <w:spacing w:val="0"/>
          <w:color w:val="141720"/>
        </w:rPr>
        <w:t xml:space="preserve">Statement</w:t>
      </w:r>
    </w:p>
    <w:p>
      <w:pPr/>
      <w:r>
        <w:rPr>
          <w:rFonts w:ascii="Helvetica" w:hAnsi="Helvetica" w:cs="Helvetica"/>
          <w:sz w:val="28"/>
          <w:sz-cs w:val="28"/>
          <w:b/>
          <w:spacing w:val="0"/>
          <w:color w:val="141720"/>
        </w:rPr>
        <w:t xml:space="preserve">What it covers</w:t>
      </w:r>
    </w:p>
    <w:p>
      <w:pPr/>
      <w:r>
        <w:rPr>
          <w:rFonts w:ascii="Helvetica" w:hAnsi="Helvetica" w:cs="Helvetica"/>
          <w:sz w:val="28"/>
          <w:sz-cs w:val="28"/>
          <w:b/>
          <w:spacing w:val="0"/>
          <w:color w:val="141720"/>
        </w:rPr>
        <w:t xml:space="preserve">Rating to click</w:t>
      </w:r>
    </w:p>
    <w:p>
      <w:pPr/>
      <w:r>
        <w:rPr>
          <w:rFonts w:ascii="Helvetica" w:hAnsi="Helvetica" w:cs="Helvetica"/>
          <w:sz w:val="28"/>
          <w:sz-cs w:val="28"/>
          <w:spacing w:val="0"/>
          <w:color w:val="141720"/>
        </w:rPr>
        <w:t xml:space="preserve">D1.1</w:t>
      </w:r>
    </w:p>
    <w:p>
      <w:pPr/>
      <w:r>
        <w:rPr>
          <w:rFonts w:ascii="Helvetica" w:hAnsi="Helvetica" w:cs="Helvetica"/>
          <w:sz w:val="28"/>
          <w:sz-cs w:val="28"/>
          <w:spacing w:val="0"/>
          <w:color w:val="141720"/>
        </w:rPr>
        <w:t xml:space="preserve">Enough digital historical records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D1.1.1</w:t>
      </w:r>
    </w:p>
    <w:p>
      <w:pPr/>
      <w:r>
        <w:rPr>
          <w:rFonts w:ascii="Helvetica" w:hAnsi="Helvetica" w:cs="Helvetica"/>
          <w:sz w:val="28"/>
          <w:sz-cs w:val="28"/>
          <w:spacing w:val="0"/>
          <w:color w:val="141720"/>
        </w:rPr>
        <w:t xml:space="preserve">Structured formats</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D1.1.2</w:t>
      </w:r>
    </w:p>
    <w:p>
      <w:pPr/>
      <w:r>
        <w:rPr>
          <w:rFonts w:ascii="Helvetica" w:hAnsi="Helvetica" w:cs="Helvetica"/>
          <w:sz w:val="28"/>
          <w:sz-cs w:val="28"/>
          <w:spacing w:val="0"/>
          <w:color w:val="141720"/>
        </w:rPr>
        <w:t xml:space="preserve">Sufficient volume</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D1.1.3</w:t>
      </w:r>
    </w:p>
    <w:p>
      <w:pPr/>
      <w:r>
        <w:rPr>
          <w:rFonts w:ascii="Helvetica" w:hAnsi="Helvetica" w:cs="Helvetica"/>
          <w:sz w:val="28"/>
          <w:sz-cs w:val="28"/>
          <w:spacing w:val="0"/>
          <w:color w:val="141720"/>
        </w:rPr>
        <w:t xml:space="preserve">Spans enough years</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D1.1.4</w:t>
      </w:r>
    </w:p>
    <w:p>
      <w:pPr/>
      <w:r>
        <w:rPr>
          <w:rFonts w:ascii="Helvetica" w:hAnsi="Helvetica" w:cs="Helvetica"/>
          <w:sz w:val="28"/>
          <w:sz-cs w:val="28"/>
          <w:spacing w:val="0"/>
          <w:color w:val="141720"/>
        </w:rPr>
        <w:t xml:space="preserve">Records paired with verified outcomes</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D1.2</w:t>
      </w:r>
    </w:p>
    <w:p>
      <w:pPr/>
      <w:r>
        <w:rPr>
          <w:rFonts w:ascii="Helvetica" w:hAnsi="Helvetica" w:cs="Helvetica"/>
          <w:sz w:val="28"/>
          <w:sz-cs w:val="28"/>
          <w:spacing w:val="0"/>
          <w:color w:val="141720"/>
        </w:rPr>
        <w:t xml:space="preserve">Represents the full range of situations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D1.2.1</w:t>
      </w:r>
    </w:p>
    <w:p>
      <w:pPr/>
      <w:r>
        <w:rPr>
          <w:rFonts w:ascii="Helvetica" w:hAnsi="Helvetica" w:cs="Helvetica"/>
          <w:sz w:val="28"/>
          <w:sz-cs w:val="28"/>
          <w:spacing w:val="0"/>
          <w:color w:val="141720"/>
        </w:rPr>
        <w:t xml:space="preserve">All districts/regions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D1.2.2</w:t>
      </w:r>
    </w:p>
    <w:p>
      <w:pPr/>
      <w:r>
        <w:rPr>
          <w:rFonts w:ascii="Helvetica" w:hAnsi="Helvetica" w:cs="Helvetica"/>
          <w:sz w:val="28"/>
          <w:sz-cs w:val="28"/>
          <w:spacing w:val="0"/>
          <w:color w:val="141720"/>
        </w:rPr>
        <w:t xml:space="preserve">Demographic representation</w:t>
      </w:r>
    </w:p>
    <w:p>
      <w:pPr/>
      <w:r>
        <w:rPr>
          <w:rFonts w:ascii="Helvetica" w:hAnsi="Helvetica" w:cs="Helvetica"/>
          <w:sz w:val="28"/>
          <w:sz-cs w:val="28"/>
          <w:b/>
          <w:spacing w:val="0"/>
          <w:color w:val="141720"/>
        </w:rPr>
        <w:t xml:space="preserve">Don't know</w:t>
      </w:r>
    </w:p>
    <w:p>
      <w:pPr/>
      <w:r>
        <w:rPr>
          <w:rFonts w:ascii="Helvetica" w:hAnsi="Helvetica" w:cs="Helvetica"/>
          <w:sz w:val="28"/>
          <w:sz-cs w:val="28"/>
          <w:spacing w:val="0"/>
          <w:color w:val="141720"/>
        </w:rPr>
        <w:t xml:space="preserve">D1.2.3</w:t>
      </w:r>
    </w:p>
    <w:p>
      <w:pPr/>
      <w:r>
        <w:rPr>
          <w:rFonts w:ascii="Helvetica" w:hAnsi="Helvetica" w:cs="Helvetica"/>
          <w:sz w:val="28"/>
          <w:sz-cs w:val="28"/>
          <w:spacing w:val="0"/>
          <w:color w:val="141720"/>
        </w:rPr>
        <w:t xml:space="preserve">Uncommon scenarios included</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D1.3</w:t>
      </w:r>
    </w:p>
    <w:p>
      <w:pPr/>
      <w:r>
        <w:rPr>
          <w:rFonts w:ascii="Helvetica" w:hAnsi="Helvetica" w:cs="Helvetica"/>
          <w:sz w:val="28"/>
          <w:sz-cs w:val="28"/>
          <w:spacing w:val="0"/>
          <w:color w:val="141720"/>
        </w:rPr>
        <w:t xml:space="preserve">Data quality reliable</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D1.3.1</w:t>
      </w:r>
    </w:p>
    <w:p>
      <w:pPr/>
      <w:r>
        <w:rPr>
          <w:rFonts w:ascii="Helvetica" w:hAnsi="Helvetica" w:cs="Helvetica"/>
          <w:sz w:val="28"/>
          <w:sz-cs w:val="28"/>
          <w:spacing w:val="0"/>
          <w:color w:val="141720"/>
        </w:rPr>
        <w:t xml:space="preserve">Key fields consistently completed</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D1.3.2</w:t>
      </w:r>
    </w:p>
    <w:p>
      <w:pPr/>
      <w:r>
        <w:rPr>
          <w:rFonts w:ascii="Helvetica" w:hAnsi="Helvetica" w:cs="Helvetica"/>
          <w:sz w:val="28"/>
          <w:sz-cs w:val="28"/>
          <w:spacing w:val="0"/>
          <w:color w:val="141720"/>
        </w:rPr>
        <w:t xml:space="preserve">Checked for duplicates</w:t>
      </w:r>
    </w:p>
    <w:p>
      <w:pPr/>
      <w:r>
        <w:rPr>
          <w:rFonts w:ascii="Helvetica" w:hAnsi="Helvetica" w:cs="Helvetica"/>
          <w:sz w:val="28"/>
          <w:sz-cs w:val="28"/>
          <w:b/>
          <w:spacing w:val="0"/>
          <w:color w:val="141720"/>
        </w:rPr>
        <w:t xml:space="preserve">Absent</w:t>
      </w:r>
    </w:p>
    <w:p>
      <w:pPr/>
      <w:r>
        <w:rPr>
          <w:rFonts w:ascii="Helvetica" w:hAnsi="Helvetica" w:cs="Helvetica"/>
          <w:sz w:val="28"/>
          <w:sz-cs w:val="28"/>
          <w:spacing w:val="0"/>
          <w:color w:val="141720"/>
        </w:rPr>
        <w:t xml:space="preserve">D1.3.3</w:t>
      </w:r>
    </w:p>
    <w:p>
      <w:pPr/>
      <w:r>
        <w:rPr>
          <w:rFonts w:ascii="Helvetica" w:hAnsi="Helvetica" w:cs="Helvetica"/>
          <w:sz w:val="28"/>
          <w:sz-cs w:val="28"/>
          <w:spacing w:val="0"/>
          <w:color w:val="141720"/>
        </w:rPr>
        <w:t xml:space="preserve">Recorded consistently across sites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D1.3.4</w:t>
      </w:r>
    </w:p>
    <w:p>
      <w:pPr/>
      <w:r>
        <w:rPr>
          <w:rFonts w:ascii="Helvetica" w:hAnsi="Helvetica" w:cs="Helvetica"/>
          <w:sz w:val="28"/>
          <w:sz-cs w:val="28"/>
          <w:spacing w:val="0"/>
          <w:color w:val="141720"/>
        </w:rPr>
        <w:t xml:space="preserve">Validation rules at entry</w:t>
      </w:r>
    </w:p>
    <w:p>
      <w:pPr/>
      <w:r>
        <w:rPr>
          <w:rFonts w:ascii="Helvetica" w:hAnsi="Helvetica" w:cs="Helvetica"/>
          <w:sz w:val="28"/>
          <w:sz-cs w:val="28"/>
          <w:b/>
          <w:spacing w:val="0"/>
          <w:color w:val="141720"/>
        </w:rPr>
        <w:t xml:space="preserve">Absent</w:t>
      </w:r>
    </w:p>
    <w:p>
      <w:pPr/>
      <w:r>
        <w:rPr>
          <w:rFonts w:ascii="Helvetica" w:hAnsi="Helvetica" w:cs="Helvetica"/>
          <w:sz w:val="28"/>
          <w:sz-cs w:val="28"/>
          <w:spacing w:val="0"/>
          <w:color w:val="141720"/>
        </w:rPr>
        <w:t xml:space="preserve">D1.3.5</w:t>
      </w:r>
    </w:p>
    <w:p>
      <w:pPr/>
      <w:r>
        <w:rPr>
          <w:rFonts w:ascii="Helvetica" w:hAnsi="Helvetica" w:cs="Helvetica"/>
          <w:sz w:val="28"/>
          <w:sz-cs w:val="28"/>
          <w:spacing w:val="0"/>
          <w:color w:val="141720"/>
        </w:rPr>
        <w:t xml:space="preserve">Reflects current conditions</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D1.4</w:t>
      </w:r>
    </w:p>
    <w:p>
      <w:pPr/>
      <w:r>
        <w:rPr>
          <w:rFonts w:ascii="Helvetica" w:hAnsi="Helvetica" w:cs="Helvetica"/>
          <w:sz w:val="28"/>
          <w:sz-cs w:val="28"/>
          <w:spacing w:val="0"/>
          <w:color w:val="141720"/>
        </w:rPr>
        <w:t xml:space="preserve">Reliable, consistent access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D1.4.1</w:t>
      </w:r>
    </w:p>
    <w:p>
      <w:pPr/>
      <w:r>
        <w:rPr>
          <w:rFonts w:ascii="Helvetica" w:hAnsi="Helvetica" w:cs="Helvetica"/>
          <w:sz w:val="28"/>
          <w:sz-cs w:val="28"/>
          <w:spacing w:val="0"/>
          <w:color w:val="141720"/>
        </w:rPr>
        <w:t xml:space="preserve">Approvals unlikely to delay</w:t>
      </w:r>
    </w:p>
    <w:p>
      <w:pPr/>
      <w:r>
        <w:rPr>
          <w:rFonts w:ascii="Helvetica" w:hAnsi="Helvetica" w:cs="Helvetica"/>
          <w:sz w:val="28"/>
          <w:sz-cs w:val="28"/>
          <w:b/>
          <w:spacing w:val="0"/>
          <w:color w:val="141720"/>
        </w:rPr>
        <w:t xml:space="preserve">Don't know</w:t>
      </w:r>
    </w:p>
    <w:p>
      <w:pPr/>
      <w:r>
        <w:rPr>
          <w:rFonts w:ascii="Helvetica" w:hAnsi="Helvetica" w:cs="Helvetica"/>
          <w:sz w:val="28"/>
          <w:sz-cs w:val="28"/>
          <w:spacing w:val="0"/>
          <w:color w:val="141720"/>
        </w:rPr>
        <w:t xml:space="preserve">D1.4.2</w:t>
      </w:r>
    </w:p>
    <w:p>
      <w:pPr/>
      <w:r>
        <w:rPr>
          <w:rFonts w:ascii="Helvetica" w:hAnsi="Helvetica" w:cs="Helvetica"/>
          <w:sz w:val="28"/>
          <w:sz-cs w:val="28"/>
          <w:spacing w:val="0"/>
          <w:color w:val="141720"/>
        </w:rPr>
        <w:t xml:space="preserve">Updated frequently enough</w:t>
      </w:r>
    </w:p>
    <w:p>
      <w:pPr/>
      <w:r>
        <w:rPr>
          <w:rFonts w:ascii="Helvetica" w:hAnsi="Helvetica" w:cs="Helvetica"/>
          <w:sz w:val="28"/>
          <w:sz-cs w:val="28"/>
          <w:b/>
          <w:spacing w:val="0"/>
          <w:color w:val="141720"/>
        </w:rPr>
        <w:t xml:space="preserve">Fully</w:t>
      </w:r>
    </w:p>
    <w:p>
      <w:pPr>
        <w:spacing w:after="280"/>
      </w:pPr>
      <w:r>
        <w:rPr>
          <w:rFonts w:ascii="Helvetica" w:hAnsi="Helvetica" w:cs="Helvetica"/>
          <w:sz w:val="28"/>
          <w:sz-cs w:val="28"/>
          <w:b/>
          <w:spacing w:val="0"/>
          <w:color w:val="2E62A9"/>
        </w:rPr>
        <w:t xml:space="preserve">D2 · Safety</w:t>
      </w:r>
    </w:p>
    <w:p>
      <w:pPr/>
      <w:r>
        <w:rPr>
          <w:rFonts w:ascii="Helvetica" w:hAnsi="Helvetica" w:cs="Helvetica"/>
          <w:sz w:val="28"/>
          <w:sz-cs w:val="28"/>
          <w:b/>
          <w:spacing w:val="0"/>
          <w:color w:val="141720"/>
        </w:rPr>
        <w:t xml:space="preserve">Statement</w:t>
      </w:r>
    </w:p>
    <w:p>
      <w:pPr/>
      <w:r>
        <w:rPr>
          <w:rFonts w:ascii="Helvetica" w:hAnsi="Helvetica" w:cs="Helvetica"/>
          <w:sz w:val="28"/>
          <w:sz-cs w:val="28"/>
          <w:b/>
          <w:spacing w:val="0"/>
          <w:color w:val="141720"/>
        </w:rPr>
        <w:t xml:space="preserve">What it covers</w:t>
      </w:r>
    </w:p>
    <w:p>
      <w:pPr/>
      <w:r>
        <w:rPr>
          <w:rFonts w:ascii="Helvetica" w:hAnsi="Helvetica" w:cs="Helvetica"/>
          <w:sz w:val="28"/>
          <w:sz-cs w:val="28"/>
          <w:b/>
          <w:spacing w:val="0"/>
          <w:color w:val="141720"/>
        </w:rPr>
        <w:t xml:space="preserve">Rating to click</w:t>
      </w:r>
    </w:p>
    <w:p>
      <w:pPr/>
      <w:r>
        <w:rPr>
          <w:rFonts w:ascii="Helvetica" w:hAnsi="Helvetica" w:cs="Helvetica"/>
          <w:sz w:val="28"/>
          <w:sz-cs w:val="28"/>
          <w:spacing w:val="0"/>
          <w:color w:val="141720"/>
        </w:rPr>
        <w:t xml:space="preserve">D2.1</w:t>
      </w:r>
    </w:p>
    <w:p>
      <w:pPr/>
      <w:r>
        <w:rPr>
          <w:rFonts w:ascii="Helvetica" w:hAnsi="Helvetica" w:cs="Helvetica"/>
          <w:sz w:val="28"/>
          <w:sz-cs w:val="28"/>
          <w:spacing w:val="0"/>
          <w:color w:val="141720"/>
        </w:rPr>
        <w:t xml:space="preserve">AI role defined; human reviews official-record decisions</w:t>
      </w:r>
    </w:p>
    <w:p>
      <w:pPr/>
      <w:r>
        <w:rPr>
          <w:rFonts w:ascii="Helvetica" w:hAnsi="Helvetica" w:cs="Helvetica"/>
          <w:sz w:val="28"/>
          <w:sz-cs w:val="28"/>
          <w:b/>
          <w:spacing w:val="0"/>
          <w:color w:val="141720"/>
        </w:rPr>
        <w:t xml:space="preserve">Fully</w:t>
      </w:r>
    </w:p>
    <w:p>
      <w:pPr/>
      <w:r>
        <w:rPr>
          <w:rFonts w:ascii="Helvetica" w:hAnsi="Helvetica" w:cs="Helvetica"/>
          <w:sz w:val="28"/>
          <w:sz-cs w:val="28"/>
          <w:spacing w:val="0"/>
          <w:color w:val="141720"/>
        </w:rPr>
        <w:t xml:space="preserve">D2.2</w:t>
      </w:r>
    </w:p>
    <w:p>
      <w:pPr/>
      <w:r>
        <w:rPr>
          <w:rFonts w:ascii="Helvetica" w:hAnsi="Helvetica" w:cs="Helvetica"/>
          <w:sz w:val="28"/>
          <w:sz-cs w:val="28"/>
          <w:spacing w:val="0"/>
          <w:color w:val="141720"/>
        </w:rPr>
        <w:t xml:space="preserve">Legally permitted; data protected</w:t>
      </w:r>
    </w:p>
    <w:p>
      <w:pPr/>
      <w:r>
        <w:rPr>
          <w:rFonts w:ascii="Helvetica" w:hAnsi="Helvetica" w:cs="Helvetica"/>
          <w:sz w:val="28"/>
          <w:sz-cs w:val="28"/>
          <w:b/>
          <w:spacing w:val="0"/>
          <w:color w:val="141720"/>
        </w:rPr>
        <w:t xml:space="preserve">Partially</w:t>
      </w:r>
    </w:p>
    <w:p>
      <w:pPr>
        <w:spacing w:after="280"/>
      </w:pPr>
      <w:r>
        <w:rPr>
          <w:rFonts w:ascii="Helvetica" w:hAnsi="Helvetica" w:cs="Helvetica"/>
          <w:sz w:val="28"/>
          <w:sz-cs w:val="28"/>
          <w:b/>
          <w:spacing w:val="0"/>
          <w:color w:val="2E62A9"/>
        </w:rPr>
        <w:t xml:space="preserve">D3 · Country-level readiness</w:t>
      </w:r>
    </w:p>
    <w:p>
      <w:pPr/>
      <w:r>
        <w:rPr>
          <w:rFonts w:ascii="Helvetica" w:hAnsi="Helvetica" w:cs="Helvetica"/>
          <w:sz w:val="28"/>
          <w:sz-cs w:val="28"/>
          <w:b/>
          <w:spacing w:val="0"/>
          <w:color w:val="141720"/>
        </w:rPr>
        <w:t xml:space="preserve">Statement</w:t>
      </w:r>
    </w:p>
    <w:p>
      <w:pPr/>
      <w:r>
        <w:rPr>
          <w:rFonts w:ascii="Helvetica" w:hAnsi="Helvetica" w:cs="Helvetica"/>
          <w:sz w:val="28"/>
          <w:sz-cs w:val="28"/>
          <w:b/>
          <w:spacing w:val="0"/>
          <w:color w:val="141720"/>
        </w:rPr>
        <w:t xml:space="preserve">What it covers</w:t>
      </w:r>
    </w:p>
    <w:p>
      <w:pPr/>
      <w:r>
        <w:rPr>
          <w:rFonts w:ascii="Helvetica" w:hAnsi="Helvetica" w:cs="Helvetica"/>
          <w:sz w:val="28"/>
          <w:sz-cs w:val="28"/>
          <w:b/>
          <w:spacing w:val="0"/>
          <w:color w:val="141720"/>
        </w:rPr>
        <w:t xml:space="preserve">Rating to click</w:t>
      </w:r>
    </w:p>
    <w:p>
      <w:pPr/>
      <w:r>
        <w:rPr>
          <w:rFonts w:ascii="Helvetica" w:hAnsi="Helvetica" w:cs="Helvetica"/>
          <w:sz w:val="28"/>
          <w:sz-cs w:val="28"/>
          <w:spacing w:val="0"/>
          <w:color w:val="141720"/>
        </w:rPr>
        <w:t xml:space="preserve">D3.1</w:t>
      </w:r>
    </w:p>
    <w:p>
      <w:pPr/>
      <w:r>
        <w:rPr>
          <w:rFonts w:ascii="Helvetica" w:hAnsi="Helvetica" w:cs="Helvetica"/>
          <w:sz w:val="28"/>
          <w:sz-cs w:val="28"/>
          <w:spacing w:val="0"/>
          <w:color w:val="141720"/>
        </w:rPr>
        <w:t xml:space="preserve">Formal leadership commitment and funding</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D3.2</w:t>
      </w:r>
    </w:p>
    <w:p>
      <w:pPr/>
      <w:r>
        <w:rPr>
          <w:rFonts w:ascii="Helvetica" w:hAnsi="Helvetica" w:cs="Helvetica"/>
          <w:sz w:val="28"/>
          <w:sz-cs w:val="28"/>
          <w:spacing w:val="0"/>
          <w:color w:val="141720"/>
        </w:rPr>
        <w:t xml:space="preserve">Laws and policies support responsible AI use</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D3.3</w:t>
      </w:r>
    </w:p>
    <w:p>
      <w:pPr/>
      <w:r>
        <w:rPr>
          <w:rFonts w:ascii="Helvetica" w:hAnsi="Helvetica" w:cs="Helvetica"/>
          <w:sz w:val="28"/>
          <w:sz-cs w:val="28"/>
          <w:spacing w:val="0"/>
          <w:color w:val="141720"/>
        </w:rPr>
        <w:t xml:space="preserve">Infrastructure across deployment sites</w:t>
      </w:r>
    </w:p>
    <w:p>
      <w:pPr/>
      <w:r>
        <w:rPr>
          <w:rFonts w:ascii="Helvetica" w:hAnsi="Helvetica" w:cs="Helvetica"/>
          <w:sz w:val="28"/>
          <w:sz-cs w:val="28"/>
          <w:b/>
          <w:spacing w:val="0"/>
          <w:color w:val="141720"/>
        </w:rPr>
        <w:t xml:space="preserve">Partially</w:t>
      </w:r>
    </w:p>
    <w:p>
      <w:pPr/>
      <w:r>
        <w:rPr>
          <w:rFonts w:ascii="Helvetica" w:hAnsi="Helvetica" w:cs="Helvetica"/>
          <w:sz w:val="28"/>
          <w:sz-cs w:val="28"/>
          <w:spacing w:val="0"/>
          <w:color w:val="141720"/>
        </w:rPr>
        <w:t xml:space="preserve">D3.4</w:t>
      </w:r>
    </w:p>
    <w:p>
      <w:pPr/>
      <w:r>
        <w:rPr>
          <w:rFonts w:ascii="Helvetica" w:hAnsi="Helvetica" w:cs="Helvetica"/>
          <w:sz w:val="28"/>
          <w:sz-cs w:val="28"/>
          <w:spacing w:val="0"/>
          <w:color w:val="141720"/>
        </w:rPr>
        <w:t xml:space="preserve">Skills to build, run, and maintain</w:t>
      </w:r>
    </w:p>
    <w:p>
      <w:pPr/>
      <w:r>
        <w:rPr>
          <w:rFonts w:ascii="Helvetica" w:hAnsi="Helvetica" w:cs="Helvetica"/>
          <w:sz w:val="28"/>
          <w:sz-cs w:val="28"/>
          <w:b/>
          <w:spacing w:val="0"/>
          <w:color w:val="141720"/>
        </w:rPr>
        <w:t xml:space="preserve">Absent</w:t>
      </w:r>
    </w:p>
    <w:p>
      <w:pPr>
        <w:spacing w:after="240"/>
      </w:pPr>
      <w:r>
        <w:rPr>
          <w:rFonts w:ascii="Helvetica" w:hAnsi="Helvetica" w:cs="Helvetica"/>
          <w:sz w:val="24"/>
          <w:sz-cs w:val="24"/>
          <w:i/>
          <w:spacing w:val="0"/>
          <w:color w:val="384057"/>
        </w:rPr>
        <w:t xml:space="preserve">Finish on the Review screen (point out the "don't know" counts and jump links). The results table itself arrives with the AI build step.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