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Default Extension="woff2" ContentType="font/woff2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14 w15 wp14">
  <w:body>
    <w:p>
      <w:pPr>
        <w:spacing w:line="276"/>
      </w:pPr>
      <w:r>
        <w:rPr>
          <w:rFonts w:ascii="Arimo Embedded" w:hAnsi="Arimo Embedded"/>
          <w:sz w:val="22"/>
        </w:rPr>
        <w:t>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119.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119.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119.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119.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119.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129.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129.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129.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129.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129.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139.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139.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139.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139.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139.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149.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149.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149.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149.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149.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159.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159.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159.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159.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159.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169.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169.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169.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169.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169.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179.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179.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179.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179.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179.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189.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189.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189.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189.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189.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199.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199.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199.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199.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199.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209.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209.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209.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209.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209.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219.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219.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219.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219.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219.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229.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229.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229.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229.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229.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239.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239.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239.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239.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239.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240.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249.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249.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249.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249.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249.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250.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250.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250.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250.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250. Mixed: Contract סעיף 12 يتضمن شروطًا متعددة，並包含 multilingual text.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Embedded">
    <w:family w:val="swiss"/>
    <w:embedRegular r:id="rIdPerfFont"/>
  </w:font>
</w:font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PerfFontTable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PerfFont" Type="http://schemas.openxmlformats.org/officeDocument/2006/relationships/font" Target="fonts/arimo-hebrew.woff2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2000-01-01T00:00:00.000Z</dcterms:created>
  <dcterms:modified xsi:type="dcterms:W3CDTF">2000-01-01T00:00:00.000Z</dcterms:modified>
</cp:coreProperties>
</file>