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lang w:val="en-US"/>
        </w:rPr>
        <w:t>EN automatic</w:t>
      </w:r>
    </w:p>
    <w:p>
      <w:pPr>
        <w:ind w:right="6480"/>
      </w:pPr>
      <w:r>
        <w:rPr>
          <w:lang w:val="en-US" w:eastAsia="en-US"/>
        </w:rPr>
        <w:t>Representation internationalization characterization demonstration compatibility.</w:t>
      </w:r>
    </w:p>
    <w:p>
      <w:r>
        <w:br w:type="page"/>
      </w:r>
    </w:p>
    <w:p>
      <w:r>
        <w:rPr>
          <w:b/>
          <w:lang w:val="en-US"/>
        </w:rPr>
        <w:t>EN paragraph suppression</w:t>
      </w:r>
    </w:p>
    <w:p>
      <w:pPr>
        <w:ind w:right="6480"/>
        <w:suppressAutoHyphens/>
      </w:pPr>
      <w:r>
        <w:rPr>
          <w:lang w:val="en-US" w:eastAsia="en-US"/>
        </w:rPr>
        <w:t>Representation internationalization characterization demonstration compatibility.</w:t>
      </w:r>
    </w:p>
    <w:p>
      <w:r>
        <w:br w:type="page"/>
      </w:r>
    </w:p>
    <w:p>
      <w:r>
        <w:rPr>
          <w:b/>
          <w:lang w:val="en-US"/>
        </w:rPr>
        <w:t>EN all caps</w:t>
      </w:r>
    </w:p>
    <w:p>
      <w:pPr>
        <w:ind w:right="6480"/>
      </w:pPr>
      <w:r>
        <w:rPr>
          <w:lang w:val="en-US" w:eastAsia="en-US"/>
        </w:rPr>
        <w:t>INTERNATIONALIZATION CHARACTERIZATION REPRESENTATION COMPATIBILITY</w:t>
      </w:r>
    </w:p>
    <w:p>
      <w:r>
        <w:br w:type="page"/>
      </w:r>
    </w:p>
    <w:p>
      <w:r>
        <w:rPr>
          <w:b/>
          <w:lang w:val="en-US"/>
        </w:rPr>
        <w:t>EN consecutive limit</w:t>
      </w:r>
    </w:p>
    <w:p>
      <w:pPr>
        <w:ind w:right="6480"/>
      </w:pPr>
      <w:r>
        <w:rPr>
          <w:lang w:val="en-US" w:eastAsia="en-US"/>
        </w:rPr>
        <w:t>Internationalization characterization representation demonstration compatibility localization.</w:t>
      </w:r>
    </w:p>
    <w:p>
      <w:r>
        <w:br w:type="page"/>
      </w:r>
    </w:p>
    <w:p>
      <w:r>
        <w:rPr>
          <w:b/>
          <w:lang w:val="en-US"/>
        </w:rPr>
        <w:t>Czech automatic</w:t>
      </w:r>
    </w:p>
    <w:p>
      <w:pPr>
        <w:ind w:right="6480"/>
      </w:pPr>
      <w:r>
        <w:rPr>
          <w:lang w:val="cs-CZ" w:eastAsia="cs-CZ"/>
        </w:rPr>
        <w:t>Nejpravděpodobnější charakteristika internacionalizace dokumentace.</w:t>
      </w:r>
    </w:p>
    <w:p>
      <w:r>
        <w:br w:type="page"/>
      </w:r>
    </w:p>
    <w:p>
      <w:r>
        <w:rPr>
          <w:b/>
          <w:lang w:val="en-US"/>
        </w:rPr>
        <w:t>British English automatic</w:t>
      </w:r>
    </w:p>
    <w:p>
      <w:pPr>
        <w:ind w:right="6480"/>
      </w:pPr>
      <w:r>
        <w:rPr>
          <w:lang w:val="en-GB" w:eastAsia="en-GB"/>
        </w:rPr>
        <w:t>Characterisation internationalisation localisation standardisation documentation.</w:t>
      </w:r>
    </w:p>
    <w:p>
      <w:r>
        <w:br w:type="page"/>
      </w:r>
    </w:p>
    <w:p>
      <w:r>
        <w:rPr>
          <w:b/>
          <w:lang w:val="en-US"/>
        </w:rPr>
        <w:t>Japanese hanging punctuation</w:t>
      </w:r>
    </w:p>
    <w:p>
      <w:pPr>
        <w:ind w:right="6480"/>
        <w:kinsoku/>
        <w:overflowPunct/>
      </w:pPr>
      <w:r>
        <w:rPr>
          <w:lang w:val="ja-JP" w:eastAsia="ja-JP"/>
        </w:rPr>
        <w:t>契約条件（重要事項）。契約条件、重要事項）契約条件。</w:t>
      </w:r>
    </w:p>
    <w:p>
      <w:r>
        <w:br w:type="page"/>
      </w:r>
    </w:p>
    <w:p>
      <w:r>
        <w:rPr>
          <w:b/>
          <w:lang w:val="en-US"/>
        </w:rPr>
        <w:t>Custom prohibited character</w:t>
      </w:r>
    </w:p>
    <w:p>
      <w:pPr>
        <w:ind w:right="6480"/>
        <w:kinsoku/>
        <w:overflowPunct/>
      </w:pPr>
      <w:r>
        <w:rPr>
          <w:lang w:val="ja-JP" w:eastAsia="ja-JP"/>
        </w:rPr>
        <w:t>甲乙丙丁※甲乙丙丁※甲乙丙丁※甲乙丙丁</w:t>
      </w:r>
    </w:p>
    <w:p>
      <w:r>
        <w:br w:type="page"/>
      </w:r>
    </w:p>
    <w:p>
      <w:r>
        <w:rPr>
          <w:b/>
          <w:lang w:val="en-US"/>
        </w:rPr>
        <w:t>EN split formatting</w:t>
      </w:r>
    </w:p>
    <w:p>
      <w:pPr>
        <w:ind w:right="6480"/>
      </w:pPr>
      <w:r>
        <w:rPr>
          <w:lang w:val="en-US"/>
        </w:rPr>
        <w:t xml:space="preserve">Representation internatio</w:t>
      </w:r>
      <w:r>
        <w:rPr>
          <w:color w:val="C00000"/>
          <w:lang w:val="en-US"/>
        </w:rPr>
        <w:t>nalization characterization demonstration compatibility.</w:t>
      </w:r>
    </w:p>
    <w:p>
      <w:r>
        <w:br w:type="page"/>
      </w:r>
    </w:p>
    <w:p>
      <w:r>
        <w:rPr>
          <w:b/>
          <w:lang w:val="en-US"/>
        </w:rPr>
        <w:t>Japanese overflow disabled</w:t>
      </w:r>
    </w:p>
    <w:p>
      <w:pPr>
        <w:ind w:right="6500"/>
        <w:kinsoku/>
        <w:overflowPunct w:val="0"/>
      </w:pPr>
      <w:r>
        <w:rPr>
          <w:lang w:val="ja-JP" w:eastAsia="ja-JP"/>
        </w:rPr>
        <w:t>甲乙丙丁戊己庚辛壬癸子丑寅。甲乙丙丁</w:t>
      </w:r>
    </w:p>
    <w:p>
      <w:r>
        <w:br w:type="page"/>
      </w:r>
    </w:p>
    <w:p>
      <w:r>
        <w:rPr>
          <w:b/>
          <w:lang w:val="en-US"/>
        </w:rPr>
        <w:t>Japanese overflow enabled</w:t>
      </w:r>
    </w:p>
    <w:p>
      <w:pPr>
        <w:ind w:right="6500"/>
        <w:kinsoku/>
        <w:overflowPunct/>
      </w:pPr>
      <w:r>
        <w:rPr>
          <w:lang w:val="ja-JP" w:eastAsia="ja-JP"/>
        </w:rPr>
        <w:t>甲乙丙丁戊己庚辛壬癸子丑寅。甲乙丙丁</w:t>
      </w:r>
    </w:p>
    <w:p>
      <w:r>
        <w:br w:type="page"/>
      </w:r>
    </w:p>
    <w:p>
      <w:r>
        <w:rPr>
          <w:b/>
          <w:lang w:val="en-US"/>
        </w:rPr>
        <w:t>Japanese closing pair</w:t>
      </w:r>
    </w:p>
    <w:p>
      <w:pPr>
        <w:ind w:right="6500"/>
        <w:kinsoku/>
        <w:overflowPunct/>
      </w:pPr>
      <w:r>
        <w:rPr>
          <w:lang w:val="ja-JP" w:eastAsia="ja-JP"/>
        </w:rPr>
        <w:t>甲乙丙丁戊己庚辛壬癸子丑寅。」甲乙丙丁</w:t>
      </w:r>
    </w:p>
    <w:p>
      <w:r>
        <w:br w:type="page"/>
      </w:r>
    </w:p>
    <w:p>
      <w:r>
        <w:rPr>
          <w:b/>
          <w:lang w:val="en-US"/>
        </w:rPr>
        <w:t>Japanese split punctuation</w:t>
      </w:r>
    </w:p>
    <w:p>
      <w:pPr>
        <w:ind w:right="6500"/>
        <w:kinsoku/>
        <w:overflowPunct/>
      </w:pPr>
      <w:r>
        <w:rPr>
          <w:lang w:val="ja-JP" w:eastAsia="ja-JP"/>
        </w:rPr>
        <w:t>甲乙丙丁戊己庚辛壬癸子丑寅</w:t>
      </w:r>
      <w:r>
        <w:rPr>
          <w:color w:val="C00000"/>
          <w:lang w:val="ja-JP" w:eastAsia="ja-JP"/>
        </w:rPr>
        <w:t>。</w:t>
      </w:r>
      <w:r>
        <w:rPr>
          <w:lang w:val="ja-JP" w:eastAsia="ja-JP"/>
        </w:rPr>
        <w:t>甲乙丙丁</w:t>
      </w:r>
    </w:p>
    <w:p>
      <w:r>
        <w:br w:type="page"/>
      </w:r>
    </w:p>
    <w:p>
      <w:r>
        <w:rPr>
          <w:b/>
          <w:lang w:val="en-US"/>
        </w:rPr>
        <w:t>Justified common paragraph</w:t>
      </w:r>
    </w:p>
    <w:p>
      <w:pPr>
        <w:suppressAutoHyphens/>
        <w:ind w:right="3600"/>
        <w:jc w:val="both"/>
      </w:pPr>
      <w:r>
        <w:t>Contract clauses allocate risk between parties and describe notice requirements, payment timing, remedies, and termination rights.</w:t>
      </w:r>
    </w:p>
    <w:p>
      <w:r>
        <w:br w:type="page"/>
      </w:r>
    </w:p>
    <w:p>
      <w:r>
        <w:rPr>
          <w:b/>
          <w:lang w:val="en-US"/>
        </w:rPr>
        <w:t>First-line paragraph indent</w:t>
      </w:r>
    </w:p>
    <w:p>
      <w:pPr>
        <w:suppressAutoHyphens/>
        <w:ind w:left="720" w:right="3600" w:firstLine="720"/>
      </w:pPr>
      <w:r>
        <w:t>Contract clauses allocate risk between parties and describe notice requirements, payment timing, remedies, and termination rights.</w:t>
      </w:r>
    </w:p>
    <w:p>
      <w:r>
        <w:br w:type="page"/>
      </w:r>
    </w:p>
    <w:p>
      <w:r>
        <w:rPr>
          <w:b/>
          <w:lang w:val="en-US"/>
        </w:rPr>
        <w:t>Explicit tab stops</w:t>
      </w:r>
    </w:p>
    <w:p>
      <w:pPr>
        <w:suppressAutoHyphens/>
        <w:ind w:right="2880"/>
        <w:tabs>
          <w:tab w:val="left" w:pos="1440"/>
          <w:tab w:val="right" w:pos="5760"/>
        </w:tabs>
      </w:pPr>
      <w:r>
        <w:t>Service item</w:t>
        <w:tab/>
        <w:t>Annual renewal and support plan</w:t>
        <w:tab/>
        <w:t>1,250.00</w:t>
      </w:r>
    </w:p>
    <w:p>
      <w:r>
        <w:br w:type="page"/>
      </w:r>
    </w:p>
    <w:p>
      <w:r>
        <w:rPr>
          <w:b/>
          <w:lang w:val="en-US"/>
        </w:rPr>
        <w:t>Wrapped numbered item</w:t>
      </w:r>
    </w:p>
    <w:p>
      <w:pPr>
        <w:suppressAutoHyphens/>
        <w:ind w:right="3600"/>
        <w:numPr>
          <w:ilvl w:val="0"/>
          <w:numId w:val="1"/>
        </w:numPr>
      </w:pPr>
      <w:r>
        <w:t>The supplier must preserve records, provide audit access, and notify the customer before deleting retained material.</w:t>
      </w:r>
    </w:p>
    <w:p>
      <w:r>
        <w:br w:type="page"/>
      </w:r>
    </w:p>
    <w:p>
      <w:r>
        <w:rPr>
          <w:b/>
          <w:lang w:val="en-US"/>
        </w:rPr>
        <w:t>Constrained table cell</w:t>
      </w:r>
    </w:p>
    <w:tbl>
      <w:tblPr>
        <w:tblW w:w="4320" w:type="dxa"/>
        <w:tblLayout w:type="fixed"/>
      </w:tblPr>
      <w:tblGrid>
        <w:gridCol w:w="4320"/>
      </w:tblGrid>
      <w:tr>
        <w:tc>
          <w:tcPr>
            <w:tcW w:w="4320" w:type="dxa"/>
          </w:tcPr>
          <w:p>
            <w:pPr>
              <w:suppressAutoHyphens/>
            </w:pPr>
            <w:r>
              <w:t>Payment is due within thirty days after receipt of a valid invoice and supporting records.</w:t>
            </w:r>
          </w:p>
        </w:tc>
      </w:tr>
    </w:tbl>
    <w:p>
      <w:r>
        <w:br w:type="page"/>
      </w:r>
    </w:p>
    <w:p>
      <w:r>
        <w:rPr>
          <w:b/>
          <w:lang w:val="en-US"/>
        </w:rPr>
        <w:t>Mixed emphasis runs</w:t>
      </w:r>
    </w:p>
    <w:p>
      <w:pPr>
        <w:suppressAutoHyphens/>
        <w:ind w:right="4320"/>
      </w:pPr>
      <w:r>
        <w:t xml:space="preserve">The agreement requires </w:t>
      </w:r>
      <w:r>
        <w:rPr>
          <w:b/>
        </w:rPr>
        <w:t>written notice</w:t>
      </w:r>
      <w:r>
        <w:t xml:space="preserve"> before either party may </w:t>
      </w:r>
      <w:r>
        <w:rPr>
          <w:i/>
        </w:rPr>
        <w:t>terminate for convenience</w:t>
      </w:r>
      <w:r>
        <w:t>. Additional obligations continue.</w:t>
      </w:r>
    </w:p>
    <w:p>
      <w:r>
        <w:br w:type="page"/>
      </w:r>
    </w:p>
    <w:p>
      <w:r>
        <w:rPr>
          <w:b/>
          <w:lang w:val="en-US"/>
        </w:rPr>
        <w:t>Left-aligned control paragraph</w:t>
      </w:r>
    </w:p>
    <w:p>
      <w:pPr>
        <w:suppressAutoHyphens/>
        <w:ind w:right="3600"/>
      </w:pPr>
      <w:r>
        <w:t>Contract clauses allocate risk between parties and describe notice requirements, payment timing, remedies, and termination rights.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autoHyphenation/>
  <w:doNotHyphenateCaps/>
  <w:consecutiveHyphenLimit w:val="1"/>
  <w:noLineBreaksBefore w:lang="ja-JP" w:val="、。）］※"/>
  <w:noLineBreaksAfter w:lang="ja-JP" w:val="（［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Yu Gothic"/>
        <w:sz w:val="22"/>
        <w:szCs w:val="22"/>
        <w:lang w:val="en-US" w:eastAsia="ja-JP"/>
      </w:rPr>
    </w:rPrDefault>
    <w:pPrDefault>
      <w:pPr>
        <w:spacing w:after="120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