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pg="http://schemas.microsoft.com/office/word/2010/wordprocessingGroup" xmlns:wps="http://schemas.microsoft.com/office/word/2010/wordprocessingShape" mc:Ignorable="w14 w15 wp14">
  <w:body>
    <w:p>
      <w:pPr>
        <w:pStyle w:val="TitleWithSubtitle"/>
      </w:pPr>
      <w:r>
        <w:t>MUTUAL SERVICES FRAMEWORK AGREEMENT</w:t>
      </w:r>
    </w:p>
    <w:p>
      <w:pPr>
        <w:pStyle w:val="Subtitle"/>
      </w:pPr>
      <w:r>
        <w:t>Stella Style sample</w:t>
      </w:r>
    </w:p>
    <w:p>
      <w:pPr>
        <w:pStyle w:val="BodyText"/>
        <w:spacing w:after="360"/>
      </w:pPr>
      <w:r>
        <w:rPr>
          <w:sz w:val="4"/>
        </w:rPr>
        <w:t/>
      </w:r>
    </w:p>
    <w:p>
      <w:pPr>
        <w:pStyle w:val="BodyText"/>
        <w:jc w:val="center"/>
      </w:pPr>
      <w:r>
        <w:t>Effective 15 July 2026</w:t>
      </w:r>
    </w:p>
    <w:p>
      <w:pPr>
        <w:pStyle w:val="BodyText"/>
        <w:spacing w:after="240"/>
      </w:pPr>
      <w:r>
        <w:rPr>
          <w:sz w:val="4"/>
        </w:rPr>
        <w:t/>
      </w:r>
    </w:p>
    <w:p>
      <w:pPr>
        <w:pStyle w:val="BodyText"/>
        <w:jc w:val="center"/>
      </w:pPr>
      <w:r>
        <w:t>between</w:t>
      </w:r>
    </w:p>
    <w:p>
      <w:pPr>
        <w:pStyle w:val="BodyText"/>
        <w:jc w:val="center"/>
      </w:pPr>
      <w:r>
        <w:rPr>
          <w:b/>
        </w:rPr>
        <w:t>NORTHSTAR ANALYTICS S.R.O.</w:t>
      </w:r>
    </w:p>
    <w:p>
      <w:pPr>
        <w:pStyle w:val="BodyText"/>
        <w:jc w:val="center"/>
      </w:pPr>
      <w:r>
        <w:t>and</w:t>
      </w:r>
    </w:p>
    <w:p>
      <w:pPr>
        <w:pStyle w:val="BodyText"/>
        <w:jc w:val="center"/>
      </w:pPr>
      <w:r>
        <w:rPr>
          <w:b/>
        </w:rPr>
        <w:t>MERIDIAN STUDIO LTD</w:t>
      </w:r>
    </w:p>
    <w:p>
      <w:pPr>
        <w:pStyle w:val="BodyText"/>
        <w:spacing w:after="360"/>
      </w:pPr>
      <w:r>
        <w:rPr>
          <w:sz w:val="4"/>
        </w:rPr>
        <w:t/>
      </w:r>
    </w:p>
    <w:tbl>
      <w:tblPr>
        <w:tblStyle w:val="TableGrid"/>
        <w:tblW w:w="5000" w:type="pct"/>
        <w:jc w:val="center"/>
        <w:tblBorders>
          <w:top w:val="single" w:sz="4" w:color="B7C1CC"/>
          <w:left w:val="single" w:sz="4" w:color="B7C1CC"/>
          <w:bottom w:val="single" w:sz="4" w:color="B7C1CC"/>
          <w:right w:val="single" w:sz="4" w:color="B7C1CC"/>
          <w:insideH w:val="single" w:sz="4" w:color="B7C1CC"/>
          <w:insideV w:val="single" w:sz="4" w:color="B7C1CC"/>
        </w:tblBorders>
        <w:tblCellMar>
          <w:top w:w="100" w:type="dxa"/>
          <w:left w:w="120" w:type="dxa"/>
          <w:bottom w:w="100" w:type="dxa"/>
          <w:right w:w="120" w:type="dxa"/>
        </w:tblCellMar>
        <w:tblLayout w:type="fixed"/>
      </w:tblPr>
      <w:tblGrid>
        <w:gridCol w:w="2300"/>
        <w:gridCol w:w="6600"/>
      </w:tblGrid>
      <w:tr>
        <w:trPr>
          <w:cantSplit/>
          <w:tblHeader/>
        </w:trPr>
        <w:tc>
          <w:tcPr>
            <w:shd w:val="clear" w:fill="E7EBEF"/>
            <w:vAlign w:val="center"/>
          </w:tcPr>
          <w:p>
            <w:pPr>
              <w:pStyle w:val="TableText"/>
            </w:pPr>
            <w:r>
              <w:rPr>
                <w:b/>
              </w:rPr>
              <w:t>KEY TERM</w:t>
            </w:r>
          </w:p>
        </w:tc>
        <w:tc>
          <w:tcPr>
            <w:shd w:val="clear" w:fill="E7EBEF"/>
            <w:vAlign w:val="center"/>
          </w:tcPr>
          <w:p>
            <w:pPr>
              <w:pStyle w:val="TableText"/>
            </w:pPr>
            <w:r>
              <w:rPr>
                <w:b/>
              </w:rPr>
              <w:t>AGREED POSITION</w:t>
            </w:r>
          </w:p>
        </w:tc>
      </w:tr>
      <w:tr>
        <w:trPr>
          <w:cantSplit/>
        </w:trPr>
        <w:tc>
          <w:tcPr>
            <w:shd w:val="clear" w:fill="F4F6F8"/>
            <w:vAlign w:val="center"/>
          </w:tcPr>
          <w:p>
            <w:pPr>
              <w:pStyle w:val="TableText"/>
            </w:pPr>
            <w:r>
              <w:rPr>
                <w:b/>
              </w:rPr>
              <w:t>Effective Date</w:t>
            </w:r>
          </w:p>
        </w:tc>
        <w:tc>
          <w:tcPr>
            <w:vAlign w:val="center"/>
          </w:tcPr>
          <w:p>
            <w:pPr>
              <w:pStyle w:val="TableText"/>
            </w:pPr>
            <w:r>
              <w:rPr>
                <w:b w:val="0"/>
              </w:rPr>
              <w:t>15 July 2026</w:t>
            </w:r>
          </w:p>
        </w:tc>
      </w:tr>
      <w:tr>
        <w:trPr>
          <w:cantSplit/>
        </w:trPr>
        <w:tc>
          <w:tcPr>
            <w:shd w:val="clear" w:fill="F4F6F8"/>
            <w:vAlign w:val="center"/>
          </w:tcPr>
          <w:p>
            <w:pPr>
              <w:pStyle w:val="TableText"/>
            </w:pPr>
            <w:r>
              <w:rPr>
                <w:b/>
              </w:rPr>
              <w:t>Services</w:t>
            </w:r>
          </w:p>
        </w:tc>
        <w:tc>
          <w:tcPr>
            <w:vAlign w:val="center"/>
          </w:tcPr>
          <w:p>
            <w:pPr>
              <w:pStyle w:val="TableText"/>
            </w:pPr>
            <w:r>
              <w:rPr>
                <w:b w:val="0"/>
              </w:rPr>
              <w:t>Product design, research, and related deliverables under signed Statements of Work</w:t>
            </w:r>
          </w:p>
        </w:tc>
      </w:tr>
      <w:tr>
        <w:trPr>
          <w:cantSplit/>
        </w:trPr>
        <w:tc>
          <w:tcPr>
            <w:shd w:val="clear" w:fill="F4F6F8"/>
            <w:vAlign w:val="center"/>
          </w:tcPr>
          <w:p>
            <w:pPr>
              <w:pStyle w:val="TableText"/>
            </w:pPr>
            <w:r>
              <w:rPr>
                <w:b/>
              </w:rPr>
              <w:t>Initial Term</w:t>
            </w:r>
          </w:p>
        </w:tc>
        <w:tc>
          <w:tcPr>
            <w:vAlign w:val="center"/>
          </w:tcPr>
          <w:p>
            <w:pPr>
              <w:pStyle w:val="TableText"/>
            </w:pPr>
            <w:r>
              <w:rPr>
                <w:b w:val="0"/>
              </w:rPr>
              <w:t>12 months; automatic 12-month renewals</w:t>
            </w:r>
          </w:p>
        </w:tc>
      </w:tr>
      <w:tr>
        <w:trPr>
          <w:cantSplit/>
        </w:trPr>
        <w:tc>
          <w:tcPr>
            <w:shd w:val="clear" w:fill="F4F6F8"/>
            <w:vAlign w:val="center"/>
          </w:tcPr>
          <w:p>
            <w:pPr>
              <w:pStyle w:val="TableText"/>
            </w:pPr>
            <w:r>
              <w:rPr>
                <w:b/>
              </w:rPr>
              <w:t>Payment</w:t>
            </w:r>
          </w:p>
        </w:tc>
        <w:tc>
          <w:tcPr>
            <w:vAlign w:val="center"/>
          </w:tcPr>
          <w:p>
            <w:pPr>
              <w:pStyle w:val="TableText"/>
            </w:pPr>
            <w:r>
              <w:rPr>
                <w:b w:val="0"/>
              </w:rPr>
              <w:t>30 days after receipt of a valid invoice</w:t>
            </w:r>
          </w:p>
        </w:tc>
      </w:tr>
      <w:tr>
        <w:trPr>
          <w:cantSplit/>
        </w:trPr>
        <w:tc>
          <w:tcPr>
            <w:shd w:val="clear" w:fill="F4F6F8"/>
            <w:vAlign w:val="center"/>
          </w:tcPr>
          <w:p>
            <w:pPr>
              <w:pStyle w:val="TableText"/>
            </w:pPr>
            <w:r>
              <w:rPr>
                <w:b/>
              </w:rPr>
              <w:t>Notices</w:t>
            </w:r>
          </w:p>
        </w:tc>
        <w:tc>
          <w:tcPr>
            <w:vAlign w:val="center"/>
          </w:tcPr>
          <w:p>
            <w:pPr>
              <w:pStyle w:val="TableText"/>
            </w:pPr>
            <w:r>
              <w:rPr>
                <w:b w:val="0"/>
              </w:rPr>
              <w:t>legal@northstar.example / legal@meridian.example</w:t>
            </w:r>
          </w:p>
        </w:tc>
      </w:tr>
    </w:tbl>
    <w:p>
      <w:pPr>
        <w:pStyle w:val="Footer"/>
        <w:spacing w:before="240"/>
        <w:jc w:val="center"/>
      </w:pPr>
      <w:r>
        <w:rPr>
          <w:i/>
        </w:rPr>
        <w:t>Demonstration document for style comparison only; not legal advice.</w:t>
      </w:r>
    </w:p>
    <w:p>
      <w:pPr>
        <w:pStyle w:val="BodyText"/>
        <w:spacing w:after="0"/>
      </w:pPr>
      <w:r>
        <w:br w:type="page"/>
      </w:r>
    </w:p>
    <w:p>
      <w:pPr>
        <w:pStyle w:val="RecitalsHeading"/>
      </w:pPr>
      <w:r>
        <w:t>BACKGROUND</w:t>
      </w:r>
    </w:p>
    <w:p>
      <w:pPr>
        <w:pStyle w:val="Recital"/>
        <w:ind w:left="720" w:hanging="360"/>
      </w:pPr>
      <w:r>
        <w:rPr>
          <w:b/>
        </w:rPr>
        <w:t xml:space="preserve">Northstar Analytics s.r.o. </w:t>
      </w:r>
      <w:r>
        <w:t>develops data products and wishes to engage a specialist design provider for defined projects.</w:t>
      </w:r>
    </w:p>
    <w:p>
      <w:pPr>
        <w:pStyle w:val="Recital"/>
        <w:ind w:left="720" w:hanging="360"/>
      </w:pPr>
      <w:r>
        <w:rPr>
          <w:b/>
        </w:rPr>
        <w:t xml:space="preserve">Meridian Studio Ltd </w:t>
      </w:r>
      <w:r>
        <w:t>provides product-design and research services and has the capability to perform those projects.</w:t>
      </w:r>
    </w:p>
    <w:p>
      <w:pPr>
        <w:pStyle w:val="Recital"/>
        <w:ind w:left="720" w:hanging="360"/>
      </w:pPr>
      <w:r>
        <w:t>The parties want a reusable framework under which they may agree individual statements of work.</w:t>
      </w:r>
    </w:p>
    <w:p>
      <w:pPr>
        <w:pStyle w:val="AgreedTerms"/>
      </w:pPr>
      <w:r>
        <w:t>AGREED TERMS</w:t>
      </w:r>
    </w:p>
    <w:p>
      <w:pPr>
        <w:pStyle w:val="ClauseHeading1"/>
      </w:pPr>
      <w:r>
        <w:t>DEFINITIONS AND INTERPRETATION</w:t>
      </w:r>
    </w:p>
    <w:p>
      <w:pPr>
        <w:pStyle w:val="Definition1"/>
        <w:ind w:left="720" w:hanging="360"/>
      </w:pPr>
      <w:r>
        <w:rPr>
          <w:b/>
        </w:rPr>
        <w:t>Business Day</w:t>
      </w:r>
      <w:r>
        <w:t xml:space="preserve"> means a day other than Saturday, Sunday, or a public holiday at the recipient’s place of business.</w:t>
      </w:r>
    </w:p>
    <w:p>
      <w:pPr>
        <w:pStyle w:val="Definition1"/>
        <w:ind w:left="720" w:hanging="360"/>
      </w:pPr>
      <w:r>
        <w:rPr>
          <w:b/>
        </w:rPr>
        <w:t>Confidential Information</w:t>
      </w:r>
      <w:r>
        <w:t xml:space="preserve"> means non-public information disclosed for a project, whether in written, oral, visual, or electronic form.</w:t>
      </w:r>
    </w:p>
    <w:p>
      <w:pPr>
        <w:pStyle w:val="Definition1"/>
        <w:ind w:left="720" w:hanging="360"/>
      </w:pPr>
      <w:r>
        <w:rPr>
          <w:b/>
        </w:rPr>
        <w:t>Deliverable</w:t>
      </w:r>
      <w:r>
        <w:t xml:space="preserve"> means an item identified as a deliverable in an agreed Statement of Work.</w:t>
      </w:r>
    </w:p>
    <w:p>
      <w:pPr>
        <w:pStyle w:val="Definition1"/>
        <w:ind w:left="720" w:hanging="360"/>
      </w:pPr>
      <w:r>
        <w:rPr>
          <w:b/>
        </w:rPr>
        <w:t>Statement of Work</w:t>
      </w:r>
      <w:r>
        <w:t xml:space="preserve"> means a document signed by both parties that describes services, timing, fees, and project-specific assumptions.</w:t>
      </w:r>
    </w:p>
    <w:p>
      <w:pPr>
        <w:pStyle w:val="ClauseParagraph1"/>
      </w:pPr>
      <w:r>
        <w:t>References to a person include an individual and any public or private legal entity.</w:t>
      </w:r>
    </w:p>
    <w:p>
      <w:pPr>
        <w:pStyle w:val="ClauseParagraph1"/>
      </w:pPr>
      <w:r>
        <w:t>Headings assist navigation only and do not affect interpretation.</w:t>
      </w:r>
    </w:p>
    <w:p>
      <w:pPr>
        <w:pStyle w:val="ClauseParagraph1"/>
      </w:pPr>
      <w:r>
        <w:t>The words “including” and “for example” do not limit the words that precede them.</w:t>
      </w:r>
    </w:p>
    <w:p>
      <w:pPr>
        <w:pStyle w:val="ClauseHeading1"/>
      </w:pPr>
      <w:r>
        <w:t>SERVICES AND PROJECT GOVERNANCE</w:t>
      </w:r>
    </w:p>
    <w:p>
      <w:pPr>
        <w:pStyle w:val="ClauseParagraph1"/>
      </w:pPr>
      <w:r>
        <w:t>Performance and change control</w:t>
      </w:r>
    </w:p>
    <w:p>
      <w:pPr>
        <w:pStyle w:val="ClauseParagraph1"/>
      </w:pPr>
      <w:r>
        <w:t>The Provider will perform the services in each Statement of Work with reasonable skill, care, and diligence.</w:t>
      </w:r>
    </w:p>
    <w:p>
      <w:pPr>
        <w:pStyle w:val="ClauseParagraph1"/>
      </w:pPr>
      <w:r>
        <w:t>Each Statement of Work will identify the Deliverables, milestones, acceptance criteria, dependencies, fees, and named project contacts.</w:t>
      </w:r>
    </w:p>
    <w:p>
      <w:pPr>
        <w:pStyle w:val="ClauseParagraph1"/>
      </w:pPr>
      <w:r>
        <w:t>A change is effective only when both project contacts record the revised scope, timing, and fee impact in writing.</w:t>
      </w:r>
    </w:p>
    <w:p>
      <w:pPr>
        <w:pStyle w:val="ClauseParagraph1"/>
      </w:pPr>
      <w:r>
        <w:t>Customer dependencies</w:t>
      </w:r>
    </w:p>
    <w:p>
      <w:pPr>
        <w:pStyle w:val="ClauseParagraph1"/>
      </w:pPr>
      <w:r>
        <w:t>The Customer will provide timely access to relevant personnel, systems, content, and decisions. The Provider is not responsible for delay caused by a dependency that the Customer does not meet.</w:t>
      </w:r>
    </w:p>
    <w:p>
      <w:pPr>
        <w:pStyle w:val="ClauseHeading1"/>
      </w:pPr>
      <w:r>
        <w:t>FEES, EXPENSES, AND TAXES</w:t>
      </w:r>
    </w:p>
    <w:p>
      <w:pPr>
        <w:pStyle w:val="ClauseParagraph1"/>
      </w:pPr>
      <w:r>
        <w:t>The Customer will pay the fees stated in each Statement of Work within 30 days after receipt of a valid invoice.</w:t>
      </w:r>
    </w:p>
    <w:p>
      <w:pPr>
        <w:pStyle w:val="ClauseParagraph1"/>
      </w:pPr>
      <w:r>
        <w:t>Fees exclude value-added, sales, withholding, and similar transaction taxes. Each party remains responsible for taxes imposed on its own income.</w:t>
      </w:r>
    </w:p>
    <w:p>
      <w:pPr>
        <w:pStyle w:val="ClauseParagraph1"/>
      </w:pPr>
      <w:r>
        <w:t>The Customer will reimburse only reasonable, documented expenses approved in writing before they are incurred.</w:t>
      </w:r>
    </w:p>
    <w:p>
      <w:pPr>
        <w:pStyle w:val="ClauseHeading1"/>
      </w:pPr>
      <w:r>
        <w:t>CONFIDENTIALITY</w:t>
      </w:r>
    </w:p>
    <w:p>
      <w:pPr>
        <w:pStyle w:val="ClauseParagraph1"/>
      </w:pPr>
      <w:r>
        <w:t>A receiving party will use Confidential Information only to perform or receive services under this Agreement, protect it using reasonable safeguards, and disclose it only to personnel and advisers who need to know it and are bound by confidentiality duties.</w:t>
      </w:r>
    </w:p>
    <w:p>
      <w:pPr>
        <w:pStyle w:val="ClauseParagraph1"/>
      </w:pPr>
      <w:r>
        <w:t>Confidential Information does not include information that the receiving party can show:</w:t>
      </w:r>
    </w:p>
    <w:p>
      <w:pPr>
        <w:pStyle w:val="ClauseParagraph2"/>
      </w:pPr>
      <w:r>
        <w:t>was lawfully known without restriction before disclosure;</w:t>
      </w:r>
    </w:p>
    <w:p>
      <w:pPr>
        <w:pStyle w:val="ClauseParagraph2"/>
      </w:pPr>
      <w:r>
        <w:t>becomes public without breach of this Agreement;</w:t>
      </w:r>
    </w:p>
    <w:p>
      <w:pPr>
        <w:pStyle w:val="ClauseParagraph2"/>
      </w:pPr>
      <w:r>
        <w:t>is received lawfully from a third party without a confidentiality duty; or</w:t>
      </w:r>
    </w:p>
    <w:p>
      <w:pPr>
        <w:pStyle w:val="ClauseParagraph2"/>
      </w:pPr>
      <w:r>
        <w:t>is developed independently without use of the disclosing party’s Confidential Information.</w:t>
      </w:r>
    </w:p>
    <w:p>
      <w:pPr>
        <w:pStyle w:val="ClauseParagraph1"/>
      </w:pPr>
      <w:r>
        <w:t>A legally required disclosure is permitted if the receiving party, where lawful, gives prompt notice and reasonable assistance to limit the disclosure.</w:t>
      </w:r>
    </w:p>
    <w:p>
      <w:pPr>
        <w:pStyle w:val="ClauseHeading1"/>
      </w:pPr>
      <w:r>
        <w:t>DATA PROTECTION AND SECURITY</w:t>
      </w:r>
    </w:p>
    <w:p>
      <w:pPr>
        <w:pStyle w:val="ClauseParagraph1"/>
      </w:pPr>
      <w:r>
        <w:t>Each party will comply with the data-protection and security laws that apply to its activities under this Agreement.</w:t>
      </w:r>
    </w:p>
    <w:p>
      <w:pPr>
        <w:pStyle w:val="ClauseParagraph1"/>
      </w:pPr>
      <w:r>
        <w:t>Before the Provider processes personal data on the Customer’s behalf, the parties will agree any data-processing terms required by applicable law, including instructions, safeguards, incident notice, subprocessors, and international transfers.</w:t>
      </w:r>
    </w:p>
    <w:p>
      <w:pPr>
        <w:pStyle w:val="ClauseParagraph1"/>
      </w:pPr>
      <w:r>
        <w:t>The Provider will maintain proportionate technical and organisational safeguards for Customer data and will notify the Customer without undue delay after confirming a security incident affecting that data.</w:t>
      </w:r>
    </w:p>
    <w:p>
      <w:pPr>
        <w:pStyle w:val="ClauseHeading1"/>
      </w:pPr>
      <w:r>
        <w:t>INTELLECTUAL PROPERTY</w:t>
      </w:r>
    </w:p>
    <w:p>
      <w:pPr>
        <w:pStyle w:val="ClauseParagraph1"/>
      </w:pPr>
      <w:r>
        <w:t>Each party retains ownership of materials, methods, software, trademarks, data, and other intellectual property that it owned or developed independently of a Statement of Work.</w:t>
      </w:r>
    </w:p>
    <w:p>
      <w:pPr>
        <w:pStyle w:val="ClauseParagraph1"/>
      </w:pPr>
      <w:r>
        <w:t>After payment of the applicable fees, the Provider assigns to the Customer the intellectual-property rights in Deliverables created specifically for the Customer, except for Provider Background Materials.</w:t>
      </w:r>
    </w:p>
    <w:p>
      <w:pPr>
        <w:pStyle w:val="ClauseParagraph1"/>
      </w:pPr>
      <w:r>
        <w:t>The Provider grants the Customer a worldwide, perpetual, non-exclusive, royalty-free licence to use Provider Background Materials incorporated in a Deliverable as necessary to use that Deliverable.</w:t>
      </w:r>
    </w:p>
    <w:p>
      <w:pPr>
        <w:pStyle w:val="ClauseHeading1"/>
      </w:pPr>
      <w:r>
        <w:t>WARRANTIES AND COMPLIANCE</w:t>
      </w:r>
    </w:p>
    <w:p>
      <w:pPr>
        <w:pStyle w:val="ClauseParagraph1"/>
      </w:pPr>
      <w:r>
        <w:t>Each party warrants that it has authority to enter into this Agreement and will comply with laws applicable to its performance, including applicable anti-bribery, sanctions, export-control, and employment laws.</w:t>
      </w:r>
    </w:p>
    <w:p>
      <w:pPr>
        <w:pStyle w:val="ClauseParagraph1"/>
      </w:pPr>
      <w:r>
        <w:t>The Provider warrants for 30 days after delivery that each Deliverable will materially conform to its agreed acceptance criteria. The Customer’s remedy is correction or, if correction is not commercially reasonable, refund of the fees paid for the affected Deliverable.</w:t>
      </w:r>
    </w:p>
    <w:p>
      <w:pPr>
        <w:pStyle w:val="ClauseHeading1"/>
      </w:pPr>
      <w:r>
        <w:t>LIABILITY</w:t>
      </w:r>
    </w:p>
    <w:p>
      <w:pPr>
        <w:pStyle w:val="ClauseParagraph1"/>
      </w:pPr>
      <w:r>
        <w:t>Neither party is liable for indirect or consequential loss, or for lost profit, revenue, anticipated savings, or goodwill, except to the extent such exclusion is prohibited by law.</w:t>
      </w:r>
    </w:p>
    <w:p>
      <w:pPr>
        <w:pStyle w:val="ClauseParagraph1"/>
      </w:pPr>
      <w:r>
        <w:t>Subject to the next paragraph, each party’s aggregate liability arising from a Statement of Work will not exceed the fees paid or payable under that Statement of Work during the twelve months preceding the event giving rise to the claim.</w:t>
      </w:r>
    </w:p>
    <w:p>
      <w:pPr>
        <w:pStyle w:val="ClauseParagraph1"/>
      </w:pPr>
      <w:r>
        <w:t>The exclusions and cap do not apply to fraud, wilful misconduct, death or personal injury caused by negligence, breach of confidentiality, infringement of the other party’s intellectual-property rights, or liability that cannot lawfully be limited.</w:t>
      </w:r>
    </w:p>
    <w:p>
      <w:pPr>
        <w:pStyle w:val="ClauseHeading1"/>
      </w:pPr>
      <w:r>
        <w:t>TERM AND TERMINATION</w:t>
      </w:r>
    </w:p>
    <w:p>
      <w:pPr>
        <w:pStyle w:val="ClauseParagraph1"/>
      </w:pPr>
      <w:r>
        <w:t>This Agreement begins on the Effective Date and continues for twelve months. It then renews for successive twelve-month periods unless either party gives at least 30 days’ notice before the current period ends.</w:t>
      </w:r>
    </w:p>
    <w:p>
      <w:pPr>
        <w:pStyle w:val="ClauseParagraph1"/>
      </w:pPr>
      <w:r>
        <w:t>Either party may terminate this Agreement or an affected Statement of Work if the other party materially breaches it and does not remedy the breach within 15 Business Days after written notice.</w:t>
      </w:r>
    </w:p>
    <w:p>
      <w:pPr>
        <w:pStyle w:val="ClauseParagraph1"/>
      </w:pPr>
      <w:r>
        <w:t>On termination, the Customer will pay undisputed fees for services properly performed up to the termination date, and each party will return or delete the other party’s Confidential Information on request, subject to lawful retention duties.</w:t>
      </w:r>
    </w:p>
    <w:p>
      <w:pPr>
        <w:pStyle w:val="ClauseHeading1"/>
      </w:pPr>
      <w:r>
        <w:t>GENERAL</w:t>
      </w:r>
    </w:p>
    <w:p>
      <w:pPr>
        <w:pStyle w:val="ClauseParagraph1"/>
      </w:pPr>
      <w:r>
        <w:t>Neither party may assign this Agreement without the other party’s prior written consent, except to an affiliate or as part of a merger or sale of substantially all relevant assets, provided the assignee can perform the assigning party’s obligations.</w:t>
      </w:r>
    </w:p>
    <w:p>
      <w:pPr>
        <w:pStyle w:val="ClauseParagraph1"/>
      </w:pPr>
      <w:r>
        <w:t>Neither party is liable for delay caused by an event beyond its reasonable control if it promptly notifies the other party and uses reasonable efforts to reduce the effect of the delay.</w:t>
      </w:r>
    </w:p>
    <w:p>
      <w:pPr>
        <w:pStyle w:val="ClauseParagraph1"/>
      </w:pPr>
      <w:r>
        <w:t>Notices must be in writing and delivered by courier or email to the addresses stated in the Key Terms. Email notices are received on the next Business Day after transmission unless the sender receives a delivery-failure message.</w:t>
      </w:r>
    </w:p>
    <w:p>
      <w:pPr>
        <w:pStyle w:val="ClauseParagraph1"/>
      </w:pPr>
      <w:r>
        <w:t>This Agreement and its Statements of Work are the entire agreement on their subject matter. A waiver or amendment must be in writing and signed by an authorised representative of each party.</w:t>
      </w:r>
    </w:p>
    <w:p>
      <w:pPr>
        <w:pStyle w:val="ClauseParagraph1"/>
      </w:pPr>
      <w:r>
        <w:t>The parties will first try in good faith to resolve any dispute through their project contacts and then through a senior representative of each party. Governing law and forum will be specified in the relevant Statement of Work.</w:t>
      </w:r>
    </w:p>
    <w:p>
      <w:pPr>
        <w:pStyle w:val="ClauseParagraph1"/>
      </w:pPr>
      <w:r>
        <w:t>This Agreement may be signed in counterparts and by electronic signature. Each counterpart forms part of the same instrument.</w:t>
      </w:r>
    </w:p>
    <w:p>
      <w:pPr>
        <w:pStyle w:val="ScheduleHeading"/>
      </w:pPr>
      <w:r>
        <w:t>SIGNATURES</w:t>
      </w:r>
    </w:p>
    <w:p>
      <w:pPr>
        <w:pStyle w:val="BodyText"/>
      </w:pPr>
      <w:r>
        <w:t>The parties have caused this Agreement to be signed by their authorised representatives.</w:t>
      </w:r>
    </w:p>
    <w:tbl>
      <w:tblPr>
        <w:tblW w:w="5000" w:type="pct"/>
        <w:jc w:val="center"/>
        <w:tblBorders>
          <w:top w:val="nil" w:sz="0" w:color="FFFFFF"/>
          <w:left w:val="nil" w:sz="0" w:color="FFFFFF"/>
          <w:bottom w:val="nil" w:sz="0" w:color="FFFFFF"/>
          <w:right w:val="nil" w:sz="0" w:color="FFFFFF"/>
          <w:insideH w:val="nil" w:sz="0" w:color="FFFFFF"/>
          <w:insideV w:val="nil" w:sz="0" w:color="FFFFFF"/>
        </w:tblBorders>
        <w:tblCellMar>
          <w:top w:w="120" w:type="dxa"/>
          <w:left w:w="100" w:type="dxa"/>
          <w:bottom w:w="120" w:type="dxa"/>
          <w:right w:w="280" w:type="dxa"/>
        </w:tblCellMar>
        <w:tblLayout w:type="fixed"/>
      </w:tblPr>
      <w:tblGrid>
        <w:gridCol w:w="4450"/>
        <w:gridCol w:w="4450"/>
      </w:tblGrid>
      <w:tr>
        <w:trPr>
          <w:cantSplit/>
        </w:trPr>
        <w:tc>
          <w:tcPr>
            <w:vAlign w:val="top"/>
          </w:tcPr>
          <w:p>
            <w:pPr>
              <w:pStyle w:val="TableText"/>
            </w:pPr>
            <w:r>
              <w:rPr>
                <w:b/>
              </w:rPr>
              <w:t>NORTHSTAR ANALYTICS S.R.O.</w:t>
            </w:r>
          </w:p>
        </w:tc>
        <w:tc>
          <w:tcPr>
            <w:vAlign w:val="top"/>
          </w:tcPr>
          <w:p>
            <w:pPr>
              <w:pStyle w:val="TableText"/>
            </w:pPr>
            <w:r>
              <w:rPr>
                <w:b/>
              </w:rPr>
              <w:t>MERIDIAN STUDIO LTD</w:t>
            </w:r>
          </w:p>
        </w:tc>
      </w:tr>
      <w:tr>
        <w:trPr>
          <w:cantSplit/>
        </w:trPr>
        <w:tc>
          <w:tcPr>
            <w:vAlign w:val="top"/>
          </w:tcPr>
          <w:p>
            <w:pPr>
              <w:pStyle w:val="TableText"/>
            </w:pPr>
            <w:r>
              <w:rPr>
                <w:b w:val="0"/>
              </w:rPr>
              <w:t>Signature: __________________________</w:t>
            </w:r>
          </w:p>
        </w:tc>
        <w:tc>
          <w:tcPr>
            <w:vAlign w:val="top"/>
          </w:tcPr>
          <w:p>
            <w:pPr>
              <w:pStyle w:val="TableText"/>
            </w:pPr>
            <w:r>
              <w:rPr>
                <w:b w:val="0"/>
              </w:rPr>
              <w:t>Signature: __________________________</w:t>
            </w:r>
          </w:p>
        </w:tc>
      </w:tr>
      <w:tr>
        <w:trPr>
          <w:cantSplit/>
        </w:trPr>
        <w:tc>
          <w:tcPr>
            <w:vAlign w:val="top"/>
          </w:tcPr>
          <w:p>
            <w:pPr>
              <w:pStyle w:val="TableText"/>
            </w:pPr>
            <w:r>
              <w:rPr>
                <w:b w:val="0"/>
              </w:rPr>
              <w:t>Name: Elena Novak</w:t>
            </w:r>
          </w:p>
        </w:tc>
        <w:tc>
          <w:tcPr>
            <w:vAlign w:val="top"/>
          </w:tcPr>
          <w:p>
            <w:pPr>
              <w:pStyle w:val="TableText"/>
            </w:pPr>
            <w:r>
              <w:rPr>
                <w:b w:val="0"/>
              </w:rPr>
              <w:t>Name: Amir Rahman</w:t>
            </w:r>
          </w:p>
        </w:tc>
      </w:tr>
      <w:tr>
        <w:trPr>
          <w:cantSplit/>
        </w:trPr>
        <w:tc>
          <w:tcPr>
            <w:vAlign w:val="top"/>
          </w:tcPr>
          <w:p>
            <w:pPr>
              <w:pStyle w:val="TableText"/>
            </w:pPr>
            <w:r>
              <w:rPr>
                <w:b w:val="0"/>
              </w:rPr>
              <w:t>Title: Managing Director</w:t>
            </w:r>
          </w:p>
        </w:tc>
        <w:tc>
          <w:tcPr>
            <w:vAlign w:val="top"/>
          </w:tcPr>
          <w:p>
            <w:pPr>
              <w:pStyle w:val="TableText"/>
            </w:pPr>
            <w:r>
              <w:rPr>
                <w:b w:val="0"/>
              </w:rPr>
              <w:t>Title: Director</w:t>
            </w:r>
          </w:p>
        </w:tc>
      </w:tr>
      <w:tr>
        <w:trPr>
          <w:cantSplit/>
        </w:trPr>
        <w:tc>
          <w:tcPr>
            <w:vAlign w:val="top"/>
          </w:tcPr>
          <w:p>
            <w:pPr>
              <w:pStyle w:val="TableText"/>
            </w:pPr>
            <w:r>
              <w:rPr>
                <w:b w:val="0"/>
              </w:rPr>
              <w:t>Date: ______________________________</w:t>
            </w:r>
          </w:p>
        </w:tc>
        <w:tc>
          <w:tcPr>
            <w:vAlign w:val="top"/>
          </w:tcPr>
          <w:p>
            <w:pPr>
              <w:pStyle w:val="TableText"/>
            </w:pPr>
            <w:r>
              <w:rPr>
                <w:b w:val="0"/>
              </w:rPr>
              <w:t>Date: ______________________________</w:t>
            </w:r>
          </w:p>
        </w:tc>
      </w:tr>
    </w:tbl>
    <w:p>
      <w:pPr>
        <w:pStyle w:val="Footer"/>
        <w:spacing w:before="360"/>
        <w:jc w:val="center"/>
      </w:pPr>
      <w:r>
        <w:rPr>
          <w:i/>
        </w:rPr>
        <w:t>Fictional parties and illustrative wording. This document demonstrates formatting only and is not legal advice.</w:t>
      </w:r>
    </w:p>
    <w:sectPr>
      <w:type w:val="nextPage"/>
      <w:pgSz w:w="11906" w:h="16838"/>
      <w:pgMar w:top="1440" w:right="1440" w:bottom="1440" w:left="1440" w:header="708" w:footer="708" w:gutter="0"/>
      <w:cols w:space="708" w:equalWidth="1"/>
      <w:vAlign w:val="top"/>
    </w:sectPr>
  </w:body>
</w:document>
</file>

<file path=word/fontTable.xml><?xml version="1.0" encoding="utf-8"?>
<w:fonts xmlns:w="http://schemas.openxmlformats.org/wordprocessingml/2006/main">
  <w:font w:name="Arial">
    <w:family w:val="swiss"/>
    <w:pitch w:val="variable"/>
  </w:font>
  <w:font w:name="Georgia">
    <w:family w:val="roman"/>
    <w:pitch w:val="variable"/>
  </w:font>
</w:fonts>
</file>

<file path=word/numbering.xml><?xml version="1.0" encoding="utf-8"?>
<w:numbering xmlns:w="http://schemas.openxmlformats.org/wordprocessingml/2006/main">
  <w:abstractNum w:abstractNumId="1">
    <w:multiLevelType w:val="multilevel"/>
    <w:lvl w:ilvl="0">
      <w:start w:val="1"/>
      <w:numFmt w:val="decimal"/>
      <w:isLgl/>
      <w:suff w:val="tab"/>
      <w:lvlText w:val="%1"/>
      <w:pPr>
        <w:ind w:left="567" w:hanging="567"/>
      </w:pPr>
    </w:lvl>
    <w:lvl w:ilvl="1">
      <w:start w:val="1"/>
      <w:numFmt w:val="decimal"/>
      <w:isLgl/>
      <w:suff w:val="tab"/>
      <w:lvlText w:val="%1.%2"/>
      <w:pPr>
        <w:ind w:left="567" w:hanging="567"/>
      </w:pPr>
    </w:lvl>
    <w:lvl w:ilvl="2">
      <w:start w:val="1"/>
      <w:numFmt w:val="lowerLetter"/>
      <w:suff w:val="tab"/>
      <w:lvlText w:val="(%3)"/>
      <w:pPr>
        <w:ind w:left="1134" w:hanging="567"/>
      </w:pPr>
    </w:lvl>
    <w:lvl w:ilvl="3">
      <w:start w:val="1"/>
      <w:numFmt w:val="lowerRoman"/>
      <w:suff w:val="tab"/>
      <w:lvlText w:val="(%4)"/>
      <w:pPr>
        <w:ind w:left="1701" w:hanging="567"/>
      </w:pPr>
    </w:lvl>
    <w:lvl w:ilvl="4">
      <w:start w:val="1"/>
      <w:numFmt w:val="upperLetter"/>
      <w:suff w:val="tab"/>
      <w:lvlText w:val="(%5)"/>
      <w:pPr>
        <w:ind w:left="2268" w:hanging="567"/>
      </w:pPr>
    </w:lvl>
  </w:abstractNum>
  <w:abstractNum w:abstractNumId="2">
    <w:multiLevelType w:val="multilevel"/>
    <w:lvl w:ilvl="0">
      <w:start w:val="1"/>
      <w:numFmt w:val="lowerLetter"/>
      <w:suff w:val="tab"/>
      <w:lvlText w:val="(%1)"/>
      <w:pPr>
        <w:ind w:left="720" w:hanging="360"/>
      </w:pPr>
    </w:lvl>
    <w:lvl w:ilvl="1">
      <w:start w:val="1"/>
      <w:numFmt w:val="lowerRoman"/>
      <w:suff w:val="tab"/>
      <w:lvlText w:val="(%2)"/>
      <w:pPr>
        <w:ind w:left="1440" w:hanging="360"/>
      </w:pPr>
    </w:lvl>
    <w:lvl w:ilvl="2">
      <w:start w:val="1"/>
      <w:numFmt w:val="upperLetter"/>
      <w:suff w:val="tab"/>
      <w:lvlText w:val="(%3)"/>
      <w:pPr>
        <w:ind w:left="2160" w:hanging="360"/>
      </w:pPr>
    </w:lvl>
  </w:abstractNum>
  <w:abstractNum w:abstractNumId="3">
    <w:multiLevelType w:val="singleLevel"/>
    <w:lvl w:ilvl="0">
      <w:start w:val="1"/>
      <w:numFmt w:val="upperLetter"/>
      <w:suff w:val="tab"/>
      <w:lvlText w:val="(%1)"/>
      <w:pPr>
        <w:ind w:left="720" w:hanging="360"/>
      </w:pPr>
    </w:lvl>
  </w:abstractNum>
  <w:abstractNum w:abstractNumId="4">
    <w:multiLevelType w:val="singleLevel"/>
    <w:lvl w:ilvl="0">
      <w:start w:val="1"/>
      <w:numFmt w:val="bullet"/>
      <w:suff w:val="tab"/>
      <w:lvlText w:val="•"/>
      <w:pPr>
        <w:ind w:left="720" w:hanging="360"/>
      </w:pPr>
    </w:lvl>
  </w:abstractNum>
  <w:num w:numId="1">
    <w:abstractNumId w:val="1"/>
  </w:num>
  <w:num w:numId="2">
    <w:abstractNumId w:val="2"/>
  </w:num>
  <w:num w:numId="3">
    <w:abstractNumId w:val="3"/>
  </w:num>
  <w:num w:numId="4">
    <w:abstractNumId w:val="3"/>
  </w:num>
  <w:num w:numId="5">
    <w:abstractNumId w:val="4"/>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Arial" w:hAnsi="Arial" w:cs="Arial"/>
        <w:sz w:val="20"/>
        <w:szCs w:val="20"/>
      </w:rPr>
    </w:rPrDefault>
    <w:pPrDefault>
      <w:pPr/>
    </w:pPrDefault>
  </w:docDefaults>
  <w:style w:type="paragraph" w:styleId="Normal" w:default="1">
    <w:name w:val="Normal"/>
    <w:uiPriority w:val="0"/>
    <w:qFormat/>
    <w:pPr>
      <w:spacing w:after="240"/>
      <w:jc w:val="both"/>
    </w:pPr>
    <w:rPr>
      <w:rFonts w:ascii="Arial" w:hAnsi="Arial" w:cs="Arial"/>
      <w:sz w:val="20"/>
      <w:szCs w:val="20"/>
    </w:rPr>
  </w:style>
  <w:style w:type="character" w:styleId="DefaultParagraphFont" w:default="1">
    <w:name w:val="Default Paragraph Font"/>
    <w:semiHidden/>
    <w:unhideWhenUsed/>
  </w:style>
  <w:style w:type="paragraph" w:styleId="BodyText">
    <w:name w:val="Body Text"/>
    <w:basedOn w:val="Normal"/>
    <w:uiPriority w:val="1"/>
    <w:qFormat/>
  </w:style>
  <w:style w:type="paragraph" w:styleId="Title">
    <w:name w:val="Title"/>
    <w:basedOn w:val="BodyText"/>
    <w:next w:val="BodyText"/>
    <w:uiPriority w:val="2"/>
    <w:qFormat/>
    <w:pPr>
      <w:keepNext/>
      <w:spacing w:after="360"/>
      <w:jc w:val="center"/>
    </w:pPr>
    <w:rPr>
      <w:b/>
      <w:sz w:val="32"/>
      <w:szCs w:val="32"/>
    </w:rPr>
  </w:style>
  <w:style w:type="paragraph" w:styleId="TitleWithSubtitle">
    <w:name w:val="Title with Subtitle"/>
    <w:basedOn w:val="Title"/>
    <w:next w:val="Subtitle"/>
    <w:uiPriority w:val="3"/>
    <w:qFormat/>
    <w:pPr>
      <w:spacing w:after="0"/>
    </w:pPr>
  </w:style>
  <w:style w:type="paragraph" w:styleId="Subtitle">
    <w:name w:val="Subtitle"/>
    <w:basedOn w:val="Title"/>
    <w:next w:val="BodyText"/>
    <w:uiPriority w:val="4"/>
    <w:qFormat/>
    <w:rPr>
      <w:rFonts w:ascii="Georgia" w:hAnsi="Georgia"/>
      <w:i/>
      <w:color w:val="7F7F7F"/>
    </w:rPr>
  </w:style>
  <w:style w:type="paragraph" w:styleId="RecitalsHeading">
    <w:name w:val="Recitals Heading"/>
    <w:basedOn w:val="BodyText"/>
    <w:next w:val="Recital"/>
    <w:uiPriority w:val="5"/>
    <w:qFormat/>
    <w:pPr>
      <w:keepNext/>
    </w:pPr>
    <w:rPr>
      <w:b/>
    </w:rPr>
  </w:style>
  <w:style w:type="paragraph" w:styleId="Recital">
    <w:name w:val="Recital"/>
    <w:basedOn w:val="BodyText"/>
    <w:uiPriority w:val="6"/>
    <w:qFormat/>
    <w:pPr>
      <w:numPr>
        <w:ilvl w:val="0"/>
        <w:numId w:val="3"/>
      </w:numPr>
    </w:pPr>
  </w:style>
  <w:style w:type="paragraph" w:styleId="AgreedTerms">
    <w:name w:val="Agreed Terms"/>
    <w:basedOn w:val="BodyText"/>
    <w:next w:val="ClauseHeading1"/>
    <w:uiPriority w:val="7"/>
    <w:qFormat/>
    <w:pPr>
      <w:keepNext/>
      <w:spacing w:before="240"/>
    </w:pPr>
    <w:rPr>
      <w:b/>
    </w:rPr>
  </w:style>
  <w:style w:type="paragraph" w:styleId="ClauseHeading1">
    <w:name w:val="Clause Heading"/>
    <w:basedOn w:val="BodyText"/>
    <w:next w:val="ClauseParagraph1"/>
    <w:uiPriority w:val="10"/>
    <w:qFormat/>
    <w:pPr>
      <w:keepNext/>
      <w:numPr>
        <w:ilvl w:val="0"/>
        <w:numId w:val="1"/>
      </w:numPr>
      <w:spacing w:before="360"/>
    </w:pPr>
    <w:rPr>
      <w:b/>
    </w:rPr>
  </w:style>
  <w:style w:type="paragraph" w:styleId="ClauseParagraph1">
    <w:name w:val="Clause 1.1"/>
    <w:basedOn w:val="BodyText"/>
    <w:next w:val="ClauseParagraph1"/>
    <w:uiPriority w:val="11"/>
    <w:qFormat/>
    <w:pPr>
      <w:keepNext/>
      <w:numPr>
        <w:ilvl w:val="1"/>
        <w:numId w:val="1"/>
      </w:numPr>
      <w:spacing w:before="0"/>
    </w:pPr>
  </w:style>
  <w:style w:type="paragraph" w:styleId="ClauseParagraph2">
    <w:name w:val="Clause (a)"/>
    <w:basedOn w:val="BodyText"/>
    <w:next w:val="ClauseParagraph2"/>
    <w:uiPriority w:val="12"/>
    <w:qFormat/>
    <w:pPr>
      <w:keepNext w:val="0"/>
      <w:numPr>
        <w:ilvl w:val="2"/>
        <w:numId w:val="1"/>
      </w:numPr>
      <w:spacing w:before="0"/>
    </w:pPr>
  </w:style>
  <w:style w:type="paragraph" w:styleId="ClauseParagraph3">
    <w:name w:val="Clause (i)"/>
    <w:basedOn w:val="BodyText"/>
    <w:next w:val="ClauseParagraph3"/>
    <w:uiPriority w:val="13"/>
    <w:qFormat/>
    <w:pPr>
      <w:keepNext w:val="0"/>
      <w:numPr>
        <w:ilvl w:val="3"/>
        <w:numId w:val="1"/>
      </w:numPr>
      <w:spacing w:before="0"/>
    </w:pPr>
  </w:style>
  <w:style w:type="paragraph" w:styleId="ClauseParagraph4">
    <w:name w:val="Clause (A)"/>
    <w:basedOn w:val="BodyText"/>
    <w:next w:val="ClauseParagraph4"/>
    <w:uiPriority w:val="14"/>
    <w:qFormat/>
    <w:pPr>
      <w:keepNext w:val="0"/>
      <w:numPr>
        <w:ilvl w:val="4"/>
        <w:numId w:val="1"/>
      </w:numPr>
      <w:spacing w:before="0"/>
    </w:pPr>
  </w:style>
  <w:style w:type="paragraph" w:styleId="Definition1">
    <w:name w:val="Definition (a)"/>
    <w:basedOn w:val="BodyText"/>
    <w:uiPriority w:val="20"/>
    <w:qFormat/>
    <w:pPr>
      <w:numPr>
        <w:ilvl w:val="0"/>
        <w:numId w:val="2"/>
      </w:numPr>
    </w:pPr>
  </w:style>
  <w:style w:type="paragraph" w:styleId="Definition2">
    <w:name w:val="Definition (i)"/>
    <w:basedOn w:val="BodyText"/>
    <w:uiPriority w:val="21"/>
    <w:qFormat/>
    <w:pPr>
      <w:numPr>
        <w:ilvl w:val="1"/>
        <w:numId w:val="2"/>
      </w:numPr>
    </w:pPr>
  </w:style>
  <w:style w:type="paragraph" w:styleId="Definition3">
    <w:name w:val="Definition (A)"/>
    <w:basedOn w:val="BodyText"/>
    <w:uiPriority w:val="22"/>
    <w:qFormat/>
    <w:pPr>
      <w:numPr>
        <w:ilvl w:val="2"/>
        <w:numId w:val="2"/>
      </w:numPr>
    </w:pPr>
  </w:style>
  <w:style w:type="paragraph" w:styleId="Party">
    <w:name w:val="Party"/>
    <w:basedOn w:val="BodyText"/>
    <w:uiPriority w:val="30"/>
    <w:qFormat/>
    <w:pPr>
      <w:numPr>
        <w:ilvl w:val="0"/>
        <w:numId w:val="4"/>
      </w:numPr>
    </w:pPr>
  </w:style>
  <w:style w:type="paragraph" w:styleId="ListParagraph">
    <w:name w:val="List Paragraph"/>
    <w:basedOn w:val="BodyText"/>
    <w:uiPriority w:val="31"/>
    <w:qFormat/>
    <w:pPr>
      <w:numPr>
        <w:ilvl w:val="0"/>
        <w:numId w:val="5"/>
      </w:numPr>
    </w:pPr>
  </w:style>
  <w:style w:type="paragraph" w:styleId="TableText">
    <w:name w:val="Table Text"/>
    <w:basedOn w:val="Normal"/>
    <w:uiPriority w:val="32"/>
    <w:qFormat/>
    <w:pPr>
      <w:spacing w:after="0"/>
    </w:pPr>
  </w:style>
  <w:style w:type="paragraph" w:styleId="ScheduleHeading">
    <w:name w:val="Schedule Heading"/>
    <w:basedOn w:val="Title"/>
    <w:next w:val="BodyText"/>
    <w:uiPriority w:val="33"/>
    <w:qFormat/>
    <w:pPr>
      <w:keepNext/>
      <w:pageBreakBefore/>
      <w:spacing w:after="240"/>
    </w:pPr>
  </w:style>
  <w:style w:type="paragraph" w:styleId="FootnoteText">
    <w:name w:val="Footnote Text"/>
    <w:basedOn w:val="Normal"/>
    <w:link w:val="FootnoteTextChar"/>
    <w:uiPriority w:val="99"/>
    <w:semiHidden/>
    <w:unhideWhenUsed/>
    <w:pPr>
      <w:spacing w:after="0"/>
    </w:pPr>
    <w:rPr>
      <w:sz w:val="18"/>
      <w:szCs w:val="18"/>
    </w:rPr>
  </w:style>
  <w:style w:type="character" w:styleId="FootnoteTextChar">
    <w:name w:val="Footnote Text Char"/>
    <w:basedOn w:val="DefaultParagraphFont"/>
    <w:link w:val="FootnoteText"/>
    <w:uiPriority w:val="99"/>
    <w:semiHidden/>
    <w:unhideWhenUsed/>
    <w:rPr>
      <w:sz w:val="18"/>
      <w:szCs w:val="18"/>
    </w:rPr>
  </w:style>
  <w:style w:type="character" w:styleId="FootnoteReference">
    <w:name w:val="Footnote Reference"/>
    <w:basedOn w:val="DefaultParagraphFont"/>
    <w:uiPriority w:val="99"/>
    <w:semiHidden/>
    <w:unhideWhenUsed/>
    <w:rPr>
      <w:vertAlign w:val="superscript"/>
    </w:rPr>
  </w:style>
  <w:style w:type="paragraph" w:styleId="Footer">
    <w:name w:val="Footer"/>
    <w:basedOn w:val="Normal"/>
    <w:pPr>
      <w:spacing w:after="0"/>
      <w:jc w:val="right"/>
    </w:pPr>
    <w:rPr>
      <w:color w:val="7F7F7F"/>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style>
  <w:style w:type="table" w:styleId="TableGrid">
    <w:name w:val="Table Grid"/>
    <w:basedOn w:val="TableNormal"/>
    <w:uiPriority w:val="59"/>
    <w:qFormat/>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s>
</file>

<file path=docProps/app.xml><?xml version="1.0" encoding="utf-8"?>
<Properties xmlns="http://schemas.openxmlformats.org/officeDocument/2006/extended-properties">
  <Application>EigenPal DOCX Editor</Application>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EigenPal DOCX Editor</dc:creator>
  <dcterms:created xsi:type="dcterms:W3CDTF">2026-07-14T06:25:13.031Z</dcterms:created>
  <dcterms:modified xsi:type="dcterms:W3CDTF">2026-07-14T06:25:14.124Z</dcterms:modified>
</cp:coreProperties>
</file>