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2286000</wp:posOffset>
            </wp:positionV>
            <wp:extent cx="2743200" cy="457200"/>
            <wp:effectExtent l="0" t="0" r="0" b="0"/>
            <wp:wrapNone/>
            <wp:docPr id="40" name="Synthetic page overlay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>
                      <a:solidFill>
                        <a:srgbClr val="BF9000"/>
                      </a:solidFill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b/>
                          </w:rPr>
                          <w:t>Overlay • Kappa 511</w:t>
                        </w:r>
                      </w:p>
                    </w:txbxContent>
                  </wps:txbx>
                  <wps:bodyPr lIns="91440" tIns="45720" rIns="91440" bIns="45720"/>
                </wps:wsp>
              </a:graphicData>
            </a:graphic>
          </wp:anchor>
        </w:drawing>
      </w:r>
    </w:p>
    <w:p>
      <w:pPr>
        <w:pStyle w:val="Heading1"/>
      </w:pPr>
      <w:r>
        <w:t>Layout kitchen sink</w:t>
      </w:r>
    </w:p>
    <w:p>
      <w:r>
        <w:t xml:space="preserve">Mixed runs: </w:t>
      </w:r>
      <w:r>
        <w:rPr>
          <w:b/>
        </w:rPr>
        <w:t>bold</w:t>
      </w:r>
      <w:r>
        <w:t xml:space="preserve">, </w:t>
      </w:r>
      <w:r>
        <w:rPr>
          <w:i/>
          <w:color w:val="C00000"/>
        </w:rPr>
        <w:t>italic color</w:t>
      </w:r>
      <w:r>
        <w:t>, and ordinary text.</w:t>
      </w:r>
    </w:p>
    <w:p>
      <w:pPr>
        <w:tabs>
          <w:tab w:val="left" w:pos="2160"/>
          <w:tab w:val="decimal" w:pos="7200"/>
        </w:tabs>
      </w:pPr>
      <w:r>
        <w:t>Item Lambda</w:t>
        <w:tab/>
        <w:t>Fictional service</w:t>
        <w:tab/>
        <w:t>1,234.56</w:t>
      </w:r>
    </w:p>
    <w:p>
      <w:pPr>
        <w:numPr>
          <w:ilvl w:val="0"/>
          <w:numId w:val="1"/>
        </w:numPr>
      </w:pPr>
      <w:r>
        <w:t>Numbered clause with enough words to wrap and expose hanging-indent behavior near the right margin.</w:t>
      </w:r>
    </w:p>
    <w:p>
      <w:pPr>
        <w:numPr>
          <w:ilvl w:val="1"/>
          <w:numId w:val="1"/>
        </w:numPr>
      </w:pPr>
      <w:r>
        <w:t>Nested clause Mu 622.</w:t>
      </w:r>
    </w:p>
    <w:tbl>
      <w:tblPr>
        <w:tblW w:w="9360" w:type="dxa"/>
        <w:tblLayout w:type="fixed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4" w:color="A6A6A6"/>
          <w:insideV w:val="single" w:sz="4" w:color="A6A6A6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w="2520" w:type="dxa"/>
            <w:shd w:fill="D9EAF7"/>
          </w:tcPr>
          <w:p>
            <w:r>
              <w:b/>
              <w:t>Code</w:t>
            </w:r>
          </w:p>
        </w:tc>
        <w:tc>
          <w:tcPr>
            <w:tcW w:w="4320" w:type="dxa"/>
            <w:shd w:fill="D9EAF7"/>
          </w:tcPr>
          <w:p>
            <w:r>
              <w:b/>
              <w:t>Description</w:t>
            </w:r>
          </w:p>
        </w:tc>
        <w:tc>
          <w:tcPr>
            <w:tcW w:w="2520" w:type="dxa"/>
            <w:shd w:fill="D9EAF7"/>
          </w:tcPr>
          <w:p>
            <w:r>
              <w:b/>
              <w:t>Amount</w:t>
            </w:r>
          </w:p>
        </w:tc>
      </w:tr>
      <w:tr>
        <w:tc>
          <w:tcPr>
            <w:tcW w:w="2520" w:type="dxa"/>
          </w:tcPr>
          <w:p>
            <w:r>
              <w:t>NU-734</w:t>
            </w:r>
          </w:p>
        </w:tc>
        <w:tc>
          <w:tcPr>
            <w:tcW w:w="4320" w:type="dxa"/>
            <w:vMerge w:val="restart"/>
          </w:tcPr>
          <w:p>
            <w:r>
              <w:t>Merged description spanning two rows</w:t>
            </w:r>
          </w:p>
        </w:tc>
        <w:tc>
          <w:tcPr>
            <w:tcW w:w="2520" w:type="dxa"/>
          </w:tcPr>
          <w:p>
            <w:r>
              <w:t>8,765.43</w:t>
            </w:r>
          </w:p>
        </w:tc>
      </w:tr>
      <w:tr>
        <w:tc>
          <w:tcPr>
            <w:tcW w:w="2520" w:type="dxa"/>
          </w:tcPr>
          <w:p>
            <w:r>
              <w:t>XI-845</w:t>
            </w:r>
          </w:p>
        </w:tc>
        <w:tc>
          <w:tcPr>
            <w:tcW w:w="4320" w:type="dxa"/>
            <w:vMerge/>
          </w:tcPr>
          <w:p/>
        </w:tc>
        <w:tc>
          <w:tcPr>
            <w:tcW w:w="2520" w:type="dxa"/>
          </w:tcPr>
          <w:p>
            <w:r>
              <w:t>92.10</w:t>
            </w:r>
          </w:p>
        </w:tc>
      </w:tr>
    </w:tbl>
    <w:p>
      <w:r>
        <w:t xml:space="preserve">Footnote anchor</w:t>
      </w:r>
      <w:r>
        <w:rPr>
          <w:vertAlign w:val="superscript"/>
        </w:rPr>
        <w:footnoteReference w:id="2"/>
      </w:r>
      <w:r>
        <w:t>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p>
      <w:r>
        <w:br w:type="page"/>
      </w:r>
    </w:p>
    <w:p>
      <w:pPr>
        <w:pStyle w:val="Heading1"/>
      </w:pPr>
      <w:r>
        <w:t>Second page and columns</w:t>
      </w:r>
    </w:p>
    <w:p>
      <w:r>
        <w:t>Omega 1: Cedar 17 records a fictional obligation, notice period, and delivery checkpoint for layout testing.</w:t>
      </w:r>
    </w:p>
    <w:p>
      <w:r>
        <w:t>Omega 2: Cedar 17 records a fictional obligation, notice period, and delivery checkpoint for layout testing.</w:t>
      </w:r>
    </w:p>
    <w:p>
      <w:r>
        <w:t>Omega 3: Cedar 17 records a fictional obligation, notice period, and delivery checkpoint for layout testing.</w:t>
      </w:r>
    </w:p>
    <w:p>
      <w:r>
        <w:t>Omega 4: Cedar 17 records a fictional obligation, notice period, and delivery checkpoint for layout testing.</w:t>
      </w:r>
    </w:p>
    <w:p>
      <w:r>
        <w:t>Omega 5: Cedar 17 records a fictional obligation, notice period, and delivery checkpoint for layout testing.</w:t>
      </w:r>
    </w:p>
    <w:p>
      <w:r>
        <w:t>Omega 6: Cedar 17 records a fictional obligation, notice period, and delivery checkpoint for layout testing.</w:t>
      </w:r>
    </w:p>
    <w:p>
      <w:r>
        <w:t>Omega 7: Cedar 17 records a fictional obligation, notice period, and delivery checkpoint for layout testing.</w:t>
      </w:r>
    </w:p>
    <w:p>
      <w:r>
        <w:t>Omega 8: Cedar 17 records a fictional obligation, notice period, and delivery checkpoint for layout testing.</w:t>
      </w:r>
    </w:p>
    <w:p>
      <w:pPr>
        <w:sectPr>
          <w:type w:val="continuous"/>
          <w:headerReference w:type="default" r:id="rId10"/>
          <w:footerReference w:type="default" r:id="rId11"/>
          <w:pgSz w:w="12240" w:h="15840"/>
          <w:pgMar w:top="1440" w:right="1440" w:bottom="1440" w:left="1440" w:header="360" w:footer="360" w:gutter="0"/>
          <w:cols w:num="2" w:space="720"/>
        </w:sectPr>
      </w:pPr>
      <w:r>
        <w:t>Continuous two-column boundary</w:t>
      </w:r>
    </w:p>
    <w:p>
      <w:r>
        <w:t>Sigma 1: Cedar 17 records a fictional obligation, notice period, and delivery checkpoint for layout testing.</w:t>
      </w:r>
    </w:p>
    <w:p>
      <w:r>
        <w:t>Sigma 2: Cedar 17 records a fictional obligation, notice period, and delivery checkpoint for layout testing.</w:t>
      </w:r>
    </w:p>
    <w:p>
      <w:r>
        <w:t>Sigma 3: Cedar 17 records a fictional obligation, notice period, and delivery checkpoint for layout testing.</w:t>
      </w:r>
    </w:p>
    <w:p>
      <w:r>
        <w:t>Sigma 4: Cedar 17 records a fictional obligation, notice period, and delivery checkpoint for layout testing.</w:t>
      </w:r>
    </w:p>
    <w:p>
      <w:r>
        <w:t>Sigma 5: Cedar 17 records a fictional obligation, notice period, and delivery checkpoint for layout testing.</w:t>
      </w:r>
    </w:p>
    <w:p>
      <w:r>
        <w:t>Sigma 6: Cedar 17 records a fictional obligation, notice period, and delivery checkpoint for layout testing.</w:t>
      </w:r>
    </w:p>
    <w:p>
      <w:r>
        <w:t>Sigma 7: Cedar 17 records a fictional obligation, notice period, and delivery checkpoint for layout testing.</w:t>
      </w:r>
    </w:p>
    <w:p>
      <w:r>
        <w:t>Sigma 8: Cedar 17 records a fictional obligation, notice period, and delivery checkpoint for layout testing.</w:t>
      </w:r>
    </w:p>
    <w:p>
      <w:r>
        <w:t>Sigma 9: Cedar 17 records a fictional obligation, notice period, and delivery checkpoint for layout testing.</w:t>
      </w:r>
    </w:p>
    <w:p>
      <w:r>
        <w:t>Sigma 10: Cedar 17 records a fictional obligation, notice period, and delivery checkpoint for layout testing.</w:t>
      </w:r>
    </w:p>
    <w:p>
      <w:r>
        <w:t>Sigma 11: Cedar 17 records a fictional obligation, notice period, and delivery checkpoint for layout testing.</w:t>
      </w:r>
    </w:p>
    <w:p>
      <w:r>
        <w:t>Sigma 12: Cedar 17 records a fictional obligation, notice period, and delivery checkpoint for layout testing.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360" w:footer="360" w:gutter="0"/>
      <w:pgBorders w:offsetFrom="page">
        <w:top w:val="single" w:sz="12" w:space="24" w:color="1F4E79"/>
        <w:left w:val="single" w:sz="12" w:space="24" w:color="1F4E79"/>
        <w:bottom w:val="single" w:sz="12" w:space="24" w:color="1F4E79"/>
        <w:right w:val="single" w:sz="12" w:space="24" w:color="1F4E79"/>
      </w:pgBorders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190500"/>
          <wp:effectExtent l="0" t="0" r="0" b="0"/>
          <wp:wrapSquare wrapText="bothSides"/>
          <wp:docPr id="21" name="Synthetic band 21" descr="Synthetic layout marker"/>
          <wp:cNvGraphicFramePr/>
          <a:graphic>
            <a:graphicData uri="http://schemas.openxmlformats.org/drawingml/2006/picture">
              <pic:pic>
                <pic:nvPicPr>
                  <pic:cNvPr id="21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center"/>
      <w:spacing w:after="0"/>
    </w:pPr>
    <w:hyperlink r:id="rId2">
      <w:r>
        <w:rPr>
          <w:color w:val="0563C1"/>
          <w:u w:val="single"/>
        </w:rPr>
        <w:t>https://example.invalid/layout-204</w:t>
      </w:r>
    </w:hyperlink>
    <w:r>
      <w:t xml:space="preserve"> •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footnoteRef/>
      </w:r>
      <w:r>
        <w:t xml:space="preserve"> Synthetic note Delta 308 uses invented values only.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381000"/>
          <wp:effectExtent l="0" t="0" r="0" b="0"/>
          <wp:wrapSquare wrapText="bothSides"/>
          <wp:docPr id="20" name="Synthetic band 20" descr="Synthetic layout marker"/>
          <wp:cNvGraphicFramePr/>
          <a:graphic>
            <a:graphicData uri="http://schemas.openxmlformats.org/drawingml/2006/picture">
              <pic:pic>
                <pic:nvPicPr>
                  <pic:cNvPr id="20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/>
    </w:pPr>
    <w:r>
      <w:rPr>
        <w:b/>
        <w:color w:val="1F4E79"/>
      </w:rPr>
      <w:t>SYNTHETIC HEADER • ALPHA 104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</w:pPr>
    <w:rPr>
      <w:b/>
      <w:sz w:val="30"/>
    </w:rPr>
  </w:style>
  <w:style w:type="character" w:styleId="Emphasis">
    <w:name w:val="Emphasis"/>
    <w:rPr>
      <w:i/>
      <w:color w:val="365F9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notes" Target="footnotes.xml"/>
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Relationship Id="rId2" Type="http://schemas.openxmlformats.org/officeDocument/2006/relationships/hyperlink" Target="https://example.invalid/layout-204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/Relationships>
</file>