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lang w:val="en-US"/>
        </w:rPr>
        <w:t>EN automatic</w:t>
      </w:r>
    </w:p>
    <w:p>
      <w:pPr>
        <w:ind w:right="6480"/>
      </w:pPr>
      <w:r>
        <w:rPr>
          <w:lang w:val="en-US" w:eastAsia="en-US"/>
        </w:rPr>
        <w:t>Representation internationalization characterization demonstration compatibility.</w:t>
      </w:r>
    </w:p>
    <w:p>
      <w:r>
        <w:br w:type="page"/>
      </w:r>
    </w:p>
    <w:p>
      <w:r>
        <w:rPr>
          <w:b/>
          <w:lang w:val="en-US"/>
        </w:rPr>
        <w:t>EN paragraph suppression</w:t>
      </w:r>
    </w:p>
    <w:p>
      <w:pPr>
        <w:ind w:right="6480"/>
        <w:suppressAutoHyphens/>
      </w:pPr>
      <w:r>
        <w:rPr>
          <w:lang w:val="en-US" w:eastAsia="en-US"/>
        </w:rPr>
        <w:t>Representation internationalization characterization demonstration compatibility.</w:t>
      </w:r>
    </w:p>
    <w:p>
      <w:r>
        <w:br w:type="page"/>
      </w:r>
    </w:p>
    <w:p>
      <w:r>
        <w:rPr>
          <w:b/>
          <w:lang w:val="en-US"/>
        </w:rPr>
        <w:t>EN all caps</w:t>
      </w:r>
    </w:p>
    <w:p>
      <w:pPr>
        <w:ind w:right="6480"/>
      </w:pPr>
      <w:r>
        <w:rPr>
          <w:lang w:val="en-US" w:eastAsia="en-US"/>
        </w:rPr>
        <w:t>INTERNATIONALIZATION CHARACTERIZATION REPRESENTATION COMPATIBILITY</w:t>
      </w:r>
    </w:p>
    <w:p>
      <w:r>
        <w:br w:type="page"/>
      </w:r>
    </w:p>
    <w:p>
      <w:r>
        <w:rPr>
          <w:b/>
          <w:lang w:val="en-US"/>
        </w:rPr>
        <w:t>EN consecutive limit</w:t>
      </w:r>
    </w:p>
    <w:p>
      <w:pPr>
        <w:ind w:right="6480"/>
      </w:pPr>
      <w:r>
        <w:rPr>
          <w:lang w:val="en-US" w:eastAsia="en-US"/>
        </w:rPr>
        <w:t>Internationalization characterization representation demonstration compatibility localization.</w:t>
      </w:r>
    </w:p>
    <w:p>
      <w:r>
        <w:br w:type="page"/>
      </w:r>
    </w:p>
    <w:p>
      <w:r>
        <w:rPr>
          <w:b/>
          <w:lang w:val="en-US"/>
        </w:rPr>
        <w:t>Czech automatic</w:t>
      </w:r>
    </w:p>
    <w:p>
      <w:pPr>
        <w:ind w:right="6480"/>
      </w:pPr>
      <w:r>
        <w:rPr>
          <w:lang w:val="cs-CZ" w:eastAsia="cs-CZ"/>
        </w:rPr>
        <w:t>Nejpravděpodobnější charakteristika internacionalizace dokumentace.</w:t>
      </w:r>
    </w:p>
    <w:p>
      <w:r>
        <w:br w:type="page"/>
      </w:r>
    </w:p>
    <w:p>
      <w:r>
        <w:rPr>
          <w:b/>
          <w:lang w:val="en-US"/>
        </w:rPr>
        <w:t>British English automatic</w:t>
      </w:r>
    </w:p>
    <w:p>
      <w:pPr>
        <w:ind w:right="6480"/>
      </w:pPr>
      <w:r>
        <w:rPr>
          <w:lang w:val="en-GB" w:eastAsia="en-GB"/>
        </w:rPr>
        <w:t>Characterisation internationalisation localisation standardisation documentation.</w:t>
      </w:r>
    </w:p>
    <w:p>
      <w:r>
        <w:br w:type="page"/>
      </w:r>
    </w:p>
    <w:p>
      <w:r>
        <w:rPr>
          <w:b/>
          <w:lang w:val="en-US"/>
        </w:rPr>
        <w:t>Japanese hanging punctuation</w:t>
      </w:r>
    </w:p>
    <w:p>
      <w:pPr>
        <w:ind w:right="6480"/>
        <w:kinsoku/>
        <w:overflowPunct/>
      </w:pPr>
      <w:r>
        <w:rPr>
          <w:lang w:val="ja-JP" w:eastAsia="ja-JP"/>
        </w:rPr>
        <w:t>契約条件（重要事項）。契約条件、重要事項）契約条件。</w:t>
      </w:r>
    </w:p>
    <w:p>
      <w:r>
        <w:br w:type="page"/>
      </w:r>
    </w:p>
    <w:p>
      <w:r>
        <w:rPr>
          <w:b/>
          <w:lang w:val="en-US"/>
        </w:rPr>
        <w:t>Custom prohibited character</w:t>
      </w:r>
    </w:p>
    <w:p>
      <w:pPr>
        <w:ind w:right="6480"/>
        <w:kinsoku/>
        <w:overflowPunct/>
      </w:pPr>
      <w:r>
        <w:rPr>
          <w:lang w:val="ja-JP" w:eastAsia="ja-JP"/>
        </w:rPr>
        <w:t>甲乙丙丁※甲乙丙丁※甲乙丙丁※甲乙丙丁</w:t>
      </w:r>
    </w:p>
    <w:p>
      <w:r>
        <w:br w:type="page"/>
      </w:r>
    </w:p>
    <w:p>
      <w:r>
        <w:rPr>
          <w:b/>
          <w:lang w:val="en-US"/>
        </w:rPr>
        <w:t>EN split formatting</w:t>
      </w:r>
    </w:p>
    <w:p>
      <w:pPr>
        <w:ind w:right="6480"/>
      </w:pPr>
      <w:r>
        <w:rPr>
          <w:lang w:val="en-US"/>
        </w:rPr>
        <w:t xml:space="preserve">Representation internatio</w:t>
      </w:r>
      <w:r>
        <w:rPr>
          <w:color w:val="C00000"/>
          <w:lang w:val="en-US"/>
        </w:rPr>
        <w:t>nalization characterization demonstration compatibility.</w:t>
      </w:r>
    </w:p>
    <w:p>
      <w:r>
        <w:br w:type="page"/>
      </w:r>
    </w:p>
    <w:p>
      <w:r>
        <w:rPr>
          <w:b/>
          <w:lang w:val="en-US"/>
        </w:rPr>
        <w:t>Japanese overflow disabled</w:t>
      </w:r>
    </w:p>
    <w:p>
      <w:pPr>
        <w:ind w:right="6500"/>
        <w:kinsoku/>
        <w:overflowPunct w:val="0"/>
      </w:pPr>
      <w:r>
        <w:rPr>
          <w:lang w:val="ja-JP" w:eastAsia="ja-JP"/>
        </w:rPr>
        <w:t>甲乙丙丁戊己庚辛壬癸子丑寅。甲乙丙丁</w:t>
      </w:r>
    </w:p>
    <w:p>
      <w:r>
        <w:br w:type="page"/>
      </w:r>
    </w:p>
    <w:p>
      <w:r>
        <w:rPr>
          <w:b/>
          <w:lang w:val="en-US"/>
        </w:rPr>
        <w:t>Japanese overflow enabled</w:t>
      </w:r>
    </w:p>
    <w:p>
      <w:pPr>
        <w:ind w:right="6500"/>
        <w:kinsoku/>
        <w:overflowPunct/>
      </w:pPr>
      <w:r>
        <w:rPr>
          <w:lang w:val="ja-JP" w:eastAsia="ja-JP"/>
        </w:rPr>
        <w:t>甲乙丙丁戊己庚辛壬癸子丑寅。甲乙丙丁</w:t>
      </w:r>
    </w:p>
    <w:p>
      <w:r>
        <w:br w:type="page"/>
      </w:r>
    </w:p>
    <w:p>
      <w:r>
        <w:rPr>
          <w:b/>
          <w:lang w:val="en-US"/>
        </w:rPr>
        <w:t>Japanese closing pair</w:t>
      </w:r>
    </w:p>
    <w:p>
      <w:pPr>
        <w:ind w:right="6500"/>
        <w:kinsoku/>
        <w:overflowPunct/>
      </w:pPr>
      <w:r>
        <w:rPr>
          <w:lang w:val="ja-JP" w:eastAsia="ja-JP"/>
        </w:rPr>
        <w:t>甲乙丙丁戊己庚辛壬癸子丑寅。」甲乙丙丁</w:t>
      </w:r>
    </w:p>
    <w:p>
      <w:r>
        <w:br w:type="page"/>
      </w:r>
    </w:p>
    <w:p>
      <w:r>
        <w:rPr>
          <w:b/>
          <w:lang w:val="en-US"/>
        </w:rPr>
        <w:t>Japanese split punctuation</w:t>
      </w:r>
    </w:p>
    <w:p>
      <w:pPr>
        <w:ind w:right="6500"/>
        <w:kinsoku/>
        <w:overflowPunct/>
      </w:pPr>
      <w:r>
        <w:rPr>
          <w:lang w:val="ja-JP" w:eastAsia="ja-JP"/>
        </w:rPr>
        <w:t>甲乙丙丁戊己庚辛壬癸子丑寅</w:t>
      </w:r>
      <w:r>
        <w:rPr>
          <w:color w:val="C00000"/>
          <w:lang w:val="ja-JP" w:eastAsia="ja-JP"/>
        </w:rPr>
        <w:t>。</w:t>
      </w:r>
      <w:r>
        <w:rPr>
          <w:lang w:val="ja-JP" w:eastAsia="ja-JP"/>
        </w:rPr>
        <w:t>甲乙丙丁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autoHyphenation/>
  <w:doNotHyphenateCaps/>
  <w:consecutiveHyphenLimit w:val="1"/>
  <w:noLineBreaksBefore w:lang="ja-JP" w:val="、。）］※"/>
  <w:noLineBreaksAfter w:lang="ja-JP" w:val="（［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Yu Gothic"/>
        <w:sz w:val="22"/>
        <w:szCs w:val="22"/>
        <w:lang w:val="en-US" w:eastAsia="ja-JP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