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2C5" w:rsidRPr="000F08BF" w:rsidRDefault="00B90DAC" w:rsidP="000F08BF">
      <w:pPr>
        <w:jc w:val="center"/>
        <w:rPr>
          <w:rFonts w:ascii="Times New Roman" w:hAnsi="Times New Roman" w:cs="Times New Roman"/>
          <w:b/>
        </w:rPr>
      </w:pPr>
      <w:r>
        <w:rPr>
          <w:rFonts w:ascii="Times New Roman" w:hAnsi="Times New Roman" w:cs="Times New Roman"/>
          <w:b/>
        </w:rPr>
        <w:t>Bond</w:t>
      </w:r>
      <w:r w:rsidR="000F08BF" w:rsidRPr="000F08BF">
        <w:rPr>
          <w:rFonts w:ascii="Times New Roman" w:hAnsi="Times New Roman" w:cs="Times New Roman"/>
          <w:b/>
        </w:rPr>
        <w:t xml:space="preserve"> ETF List</w:t>
      </w:r>
    </w:p>
    <w:p w:rsidR="000F08BF" w:rsidRPr="000F08BF" w:rsidRDefault="000F08BF">
      <w:pPr>
        <w:rPr>
          <w:rFonts w:ascii="Times New Roman" w:hAnsi="Times New Roman" w:cs="Times New Roman"/>
        </w:rPr>
      </w:pPr>
    </w:p>
    <w:p w:rsidR="00735C67" w:rsidRDefault="00B90DAC" w:rsidP="000F08BF">
      <w:pPr>
        <w:jc w:val="both"/>
        <w:rPr>
          <w:rFonts w:ascii="Times New Roman" w:hAnsi="Times New Roman" w:cs="Times New Roman"/>
        </w:rPr>
      </w:pPr>
      <w:r w:rsidRPr="00931446">
        <w:rPr>
          <w:rFonts w:ascii="Times New Roman" w:hAnsi="Times New Roman" w:cs="Times New Roman"/>
        </w:rPr>
        <w:t>Bond ETFs</w:t>
      </w:r>
      <w:r>
        <w:rPr>
          <w:rFonts w:ascii="Times New Roman" w:hAnsi="Times New Roman" w:cs="Times New Roman"/>
        </w:rPr>
        <w:t xml:space="preserve"> </w:t>
      </w:r>
      <w:r w:rsidRPr="00931446">
        <w:rPr>
          <w:rFonts w:ascii="Times New Roman" w:hAnsi="Times New Roman" w:cs="Times New Roman"/>
        </w:rPr>
        <w:t>offer exposure to different types of bonds. These various bonds include California munis, China bonds, floating rate bonds, international treasury and many others.</w:t>
      </w:r>
    </w:p>
    <w:p w:rsidR="00B90DAC" w:rsidRDefault="00B90DAC" w:rsidP="000F08BF">
      <w:pPr>
        <w:jc w:val="both"/>
        <w:rPr>
          <w:rFonts w:ascii="Times New Roman" w:hAnsi="Times New Roman" w:cs="Times New Roman"/>
        </w:rPr>
      </w:pPr>
    </w:p>
    <w:p w:rsidR="00735C67" w:rsidRDefault="00735C67" w:rsidP="00DF6618">
      <w:pPr>
        <w:rPr>
          <w:rFonts w:ascii="Times New Roman" w:hAnsi="Times New Roman" w:cs="Times New Roman"/>
        </w:rPr>
      </w:pPr>
      <w:r>
        <w:rPr>
          <w:rFonts w:ascii="Times New Roman" w:hAnsi="Times New Roman" w:cs="Times New Roman"/>
        </w:rPr>
        <w:t xml:space="preserve">Table </w:t>
      </w:r>
      <w:bookmarkStart w:id="0" w:name="_GoBack"/>
      <w:bookmarkEnd w:id="0"/>
      <w:r>
        <w:rPr>
          <w:rFonts w:ascii="Times New Roman" w:hAnsi="Times New Roman" w:cs="Times New Roman"/>
        </w:rPr>
        <w:t xml:space="preserve">1. </w:t>
      </w:r>
      <w:r w:rsidR="00B90DAC">
        <w:rPr>
          <w:rFonts w:ascii="Times New Roman" w:hAnsi="Times New Roman" w:cs="Times New Roman"/>
        </w:rPr>
        <w:t>Bond Class</w:t>
      </w:r>
    </w:p>
    <w:tbl>
      <w:tblPr>
        <w:tblStyle w:val="a3"/>
        <w:tblW w:w="8388" w:type="dxa"/>
        <w:tblLook w:val="04A0" w:firstRow="1" w:lastRow="0" w:firstColumn="1" w:lastColumn="0" w:noHBand="0" w:noVBand="1"/>
      </w:tblPr>
      <w:tblGrid>
        <w:gridCol w:w="2796"/>
        <w:gridCol w:w="2796"/>
        <w:gridCol w:w="2796"/>
      </w:tblGrid>
      <w:tr w:rsidR="003A6ECD" w:rsidTr="00652405">
        <w:trPr>
          <w:trHeight w:val="450"/>
        </w:trPr>
        <w:tc>
          <w:tcPr>
            <w:tcW w:w="2796" w:type="dxa"/>
          </w:tcPr>
          <w:p w:rsidR="003A6ECD" w:rsidRPr="003A6ECD" w:rsidRDefault="003A6ECD" w:rsidP="003A6ECD">
            <w:pPr>
              <w:pStyle w:val="a4"/>
              <w:numPr>
                <w:ilvl w:val="0"/>
                <w:numId w:val="3"/>
              </w:numPr>
              <w:ind w:leftChars="0"/>
              <w:rPr>
                <w:rFonts w:ascii="Times New Roman" w:hAnsi="Times New Roman" w:cs="Times New Roman" w:hint="eastAsia"/>
              </w:rPr>
            </w:pPr>
            <w:r w:rsidRPr="00B90DAC">
              <w:rPr>
                <w:rFonts w:ascii="Times New Roman" w:hAnsi="Times New Roman" w:cs="Times New Roman"/>
              </w:rPr>
              <w:t>Investment Grade Corporate</w:t>
            </w:r>
          </w:p>
        </w:tc>
        <w:tc>
          <w:tcPr>
            <w:tcW w:w="2796" w:type="dxa"/>
          </w:tcPr>
          <w:p w:rsidR="003A6ECD" w:rsidRPr="00DF6618" w:rsidRDefault="003A6ECD" w:rsidP="00B90DAC">
            <w:pPr>
              <w:pStyle w:val="a4"/>
              <w:numPr>
                <w:ilvl w:val="0"/>
                <w:numId w:val="3"/>
              </w:numPr>
              <w:ind w:leftChars="0"/>
              <w:rPr>
                <w:rFonts w:ascii="Times New Roman" w:hAnsi="Times New Roman" w:cs="Times New Roman"/>
              </w:rPr>
            </w:pPr>
            <w:r w:rsidRPr="00B90DAC">
              <w:rPr>
                <w:rFonts w:ascii="Times New Roman" w:hAnsi="Times New Roman" w:cs="Times New Roman"/>
              </w:rPr>
              <w:t>Junk</w:t>
            </w:r>
          </w:p>
        </w:tc>
        <w:tc>
          <w:tcPr>
            <w:tcW w:w="2796" w:type="dxa"/>
          </w:tcPr>
          <w:p w:rsidR="003A6ECD" w:rsidRPr="00DF6618" w:rsidRDefault="003A6ECD" w:rsidP="00B90DAC">
            <w:pPr>
              <w:pStyle w:val="a4"/>
              <w:numPr>
                <w:ilvl w:val="0"/>
                <w:numId w:val="3"/>
              </w:numPr>
              <w:ind w:leftChars="0"/>
              <w:rPr>
                <w:rFonts w:ascii="Times New Roman" w:hAnsi="Times New Roman" w:cs="Times New Roman"/>
              </w:rPr>
            </w:pPr>
            <w:r w:rsidRPr="00B90DAC">
              <w:rPr>
                <w:rFonts w:ascii="Times New Roman" w:hAnsi="Times New Roman" w:cs="Times New Roman"/>
              </w:rPr>
              <w:t>Municipal Bond</w:t>
            </w:r>
          </w:p>
        </w:tc>
      </w:tr>
      <w:tr w:rsidR="003A6ECD" w:rsidTr="00BC5837">
        <w:trPr>
          <w:trHeight w:val="437"/>
        </w:trPr>
        <w:tc>
          <w:tcPr>
            <w:tcW w:w="2796" w:type="dxa"/>
          </w:tcPr>
          <w:p w:rsidR="003A6ECD" w:rsidRPr="00DF6618" w:rsidRDefault="003A6ECD" w:rsidP="00B90DAC">
            <w:pPr>
              <w:pStyle w:val="a4"/>
              <w:numPr>
                <w:ilvl w:val="0"/>
                <w:numId w:val="3"/>
              </w:numPr>
              <w:ind w:leftChars="0"/>
              <w:rPr>
                <w:rFonts w:ascii="Times New Roman" w:hAnsi="Times New Roman" w:cs="Times New Roman"/>
              </w:rPr>
            </w:pPr>
            <w:r w:rsidRPr="00B90DAC">
              <w:rPr>
                <w:rFonts w:ascii="Times New Roman" w:hAnsi="Times New Roman" w:cs="Times New Roman"/>
              </w:rPr>
              <w:t>Target Maturity Date Corporate Bond</w:t>
            </w:r>
          </w:p>
        </w:tc>
        <w:tc>
          <w:tcPr>
            <w:tcW w:w="2796" w:type="dxa"/>
          </w:tcPr>
          <w:p w:rsidR="003A6ECD" w:rsidRPr="00DF6618" w:rsidRDefault="003A6ECD" w:rsidP="00B90DAC">
            <w:pPr>
              <w:pStyle w:val="a4"/>
              <w:numPr>
                <w:ilvl w:val="0"/>
                <w:numId w:val="3"/>
              </w:numPr>
              <w:ind w:leftChars="0"/>
              <w:rPr>
                <w:rFonts w:ascii="Times New Roman" w:hAnsi="Times New Roman" w:cs="Times New Roman"/>
              </w:rPr>
            </w:pPr>
            <w:r w:rsidRPr="00B90DAC">
              <w:rPr>
                <w:rFonts w:ascii="Times New Roman" w:hAnsi="Times New Roman" w:cs="Times New Roman"/>
              </w:rPr>
              <w:t>Total Bond Market</w:t>
            </w:r>
          </w:p>
        </w:tc>
        <w:tc>
          <w:tcPr>
            <w:tcW w:w="2796" w:type="dxa"/>
          </w:tcPr>
          <w:p w:rsidR="003A6ECD" w:rsidRPr="003A6ECD" w:rsidRDefault="003A6ECD" w:rsidP="003A6ECD">
            <w:pPr>
              <w:pStyle w:val="a4"/>
              <w:numPr>
                <w:ilvl w:val="0"/>
                <w:numId w:val="3"/>
              </w:numPr>
              <w:ind w:leftChars="0"/>
              <w:rPr>
                <w:rFonts w:ascii="Times New Roman" w:hAnsi="Times New Roman" w:cs="Times New Roman" w:hint="eastAsia"/>
              </w:rPr>
            </w:pPr>
            <w:r w:rsidRPr="003A6ECD">
              <w:rPr>
                <w:rFonts w:ascii="Times New Roman" w:hAnsi="Times New Roman" w:cs="Times New Roman"/>
              </w:rPr>
              <w:t>Treasuries</w:t>
            </w:r>
          </w:p>
        </w:tc>
      </w:tr>
    </w:tbl>
    <w:p w:rsidR="000F08BF" w:rsidRPr="005F4E95" w:rsidRDefault="00B90DAC" w:rsidP="00B90DAC">
      <w:pPr>
        <w:pStyle w:val="a4"/>
        <w:numPr>
          <w:ilvl w:val="0"/>
          <w:numId w:val="1"/>
        </w:numPr>
        <w:spacing w:beforeLines="50" w:before="180" w:afterLines="50" w:after="180"/>
        <w:ind w:leftChars="0"/>
        <w:jc w:val="both"/>
        <w:rPr>
          <w:rFonts w:ascii="Times New Roman" w:hAnsi="Times New Roman" w:cs="Times New Roman"/>
        </w:rPr>
      </w:pPr>
      <w:r w:rsidRPr="00B90DAC">
        <w:rPr>
          <w:rFonts w:ascii="Times New Roman" w:hAnsi="Times New Roman" w:cs="Times New Roman"/>
        </w:rPr>
        <w:t>Investment Grade Corporate Bong ETFs offer exposure to high-quality corporate bonds. Investment grade bonds are defined as having a credit rating of BBB or higher, which means they are at a very low risk of default.</w:t>
      </w:r>
    </w:p>
    <w:p w:rsidR="00B90DAC" w:rsidRDefault="00B90DAC" w:rsidP="00B90DAC">
      <w:pPr>
        <w:pStyle w:val="a4"/>
        <w:numPr>
          <w:ilvl w:val="0"/>
          <w:numId w:val="1"/>
        </w:numPr>
        <w:spacing w:afterLines="50" w:after="180"/>
        <w:ind w:leftChars="0"/>
        <w:jc w:val="both"/>
        <w:rPr>
          <w:rFonts w:ascii="Times New Roman" w:hAnsi="Times New Roman" w:cs="Times New Roman"/>
        </w:rPr>
      </w:pPr>
      <w:r w:rsidRPr="00B90DAC">
        <w:rPr>
          <w:rFonts w:ascii="Times New Roman" w:hAnsi="Times New Roman" w:cs="Times New Roman"/>
        </w:rPr>
        <w:t>Junk Bond ETFs are composed of non-investment grade bonds. These bonds carry a rating of BBB or lower and have a high risk of default, but offer yields that are typically well above average.</w:t>
      </w:r>
    </w:p>
    <w:p w:rsidR="00B90DAC" w:rsidRDefault="00B90DAC" w:rsidP="00B90DAC">
      <w:pPr>
        <w:pStyle w:val="a4"/>
        <w:numPr>
          <w:ilvl w:val="0"/>
          <w:numId w:val="1"/>
        </w:numPr>
        <w:spacing w:afterLines="50" w:after="180"/>
        <w:ind w:leftChars="0"/>
        <w:jc w:val="both"/>
        <w:rPr>
          <w:rFonts w:ascii="Times New Roman" w:hAnsi="Times New Roman" w:cs="Times New Roman"/>
        </w:rPr>
      </w:pPr>
      <w:r w:rsidRPr="00B90DAC">
        <w:rPr>
          <w:rFonts w:ascii="Times New Roman" w:hAnsi="Times New Roman" w:cs="Times New Roman"/>
        </w:rPr>
        <w:t>Municipal Bond ETFs invest primarily in municipal bonds. These bonds are issued by local and state governments and are aimed to fund various projects, such as schools, highways, and bridges.</w:t>
      </w:r>
    </w:p>
    <w:p w:rsidR="00E5793A" w:rsidRDefault="00B90DAC" w:rsidP="00B90DAC">
      <w:pPr>
        <w:pStyle w:val="a4"/>
        <w:numPr>
          <w:ilvl w:val="0"/>
          <w:numId w:val="1"/>
        </w:numPr>
        <w:spacing w:afterLines="50" w:after="180"/>
        <w:ind w:leftChars="0"/>
        <w:jc w:val="both"/>
        <w:rPr>
          <w:rFonts w:ascii="Times New Roman" w:hAnsi="Times New Roman" w:cs="Times New Roman"/>
        </w:rPr>
      </w:pPr>
      <w:r w:rsidRPr="00B90DAC">
        <w:rPr>
          <w:rFonts w:ascii="Times New Roman" w:hAnsi="Times New Roman" w:cs="Times New Roman"/>
        </w:rPr>
        <w:t>Target Maturity Date Corporate Bond ETFs are composed of investment grade corporate bonds with specific maturity dates. These dates can vary from short term to long term.</w:t>
      </w:r>
    </w:p>
    <w:p w:rsidR="00B90DAC" w:rsidRDefault="00B90DAC" w:rsidP="00B90DAC">
      <w:pPr>
        <w:pStyle w:val="a4"/>
        <w:numPr>
          <w:ilvl w:val="0"/>
          <w:numId w:val="1"/>
        </w:numPr>
        <w:spacing w:afterLines="50" w:after="180"/>
        <w:ind w:leftChars="0"/>
        <w:jc w:val="both"/>
        <w:rPr>
          <w:rFonts w:ascii="Times New Roman" w:hAnsi="Times New Roman" w:cs="Times New Roman"/>
        </w:rPr>
      </w:pPr>
      <w:r w:rsidRPr="00B90DAC">
        <w:rPr>
          <w:rFonts w:ascii="Times New Roman" w:hAnsi="Times New Roman" w:cs="Times New Roman"/>
        </w:rPr>
        <w:t>Total Bond Market ETFs invest in several different types of bonds. The bonds included in these funds aim to give investors exposure to the overall bond market, including treasuries, muni bonds, corporate bonds, and more.</w:t>
      </w:r>
    </w:p>
    <w:p w:rsidR="00EE03EC" w:rsidRPr="00E7250C" w:rsidRDefault="00B90DAC" w:rsidP="00B90DAC">
      <w:pPr>
        <w:pStyle w:val="a4"/>
        <w:numPr>
          <w:ilvl w:val="0"/>
          <w:numId w:val="1"/>
        </w:numPr>
        <w:spacing w:afterLines="50" w:after="180"/>
        <w:ind w:leftChars="0"/>
        <w:jc w:val="both"/>
        <w:rPr>
          <w:rFonts w:ascii="Times New Roman" w:hAnsi="Times New Roman" w:cs="Times New Roman"/>
        </w:rPr>
      </w:pPr>
      <w:r w:rsidRPr="00B90DAC">
        <w:rPr>
          <w:rFonts w:ascii="Times New Roman" w:hAnsi="Times New Roman" w:cs="Times New Roman"/>
        </w:rPr>
        <w:t>Treasuries ETFs invest primarily in U.S. Treasury Notes of various lengths. Treasuries are among the most popular and safest bonds available, since the likelihood of the U.S. government defaulting on its debt is extraordinarily unlikely.</w:t>
      </w:r>
      <w:r w:rsidR="00E7250C" w:rsidRPr="00E7250C">
        <w:rPr>
          <w:rFonts w:ascii="Times New Roman" w:hAnsi="Times New Roman" w:cs="Times New Roman"/>
        </w:rPr>
        <w:t xml:space="preserve"> </w:t>
      </w:r>
    </w:p>
    <w:sectPr w:rsidR="00EE03EC" w:rsidRPr="00E7250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08A5" w:rsidRDefault="006508A5" w:rsidP="00B90DAC">
      <w:r>
        <w:separator/>
      </w:r>
    </w:p>
  </w:endnote>
  <w:endnote w:type="continuationSeparator" w:id="0">
    <w:p w:rsidR="006508A5" w:rsidRDefault="006508A5" w:rsidP="00B90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08A5" w:rsidRDefault="006508A5" w:rsidP="00B90DAC">
      <w:r>
        <w:separator/>
      </w:r>
    </w:p>
  </w:footnote>
  <w:footnote w:type="continuationSeparator" w:id="0">
    <w:p w:rsidR="006508A5" w:rsidRDefault="006508A5" w:rsidP="00B90DA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24847"/>
    <w:multiLevelType w:val="hybridMultilevel"/>
    <w:tmpl w:val="5358C184"/>
    <w:lvl w:ilvl="0" w:tplc="0734BC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7FB2F1E"/>
    <w:multiLevelType w:val="hybridMultilevel"/>
    <w:tmpl w:val="DDD8397E"/>
    <w:lvl w:ilvl="0" w:tplc="E494A2C8">
      <w:start w:val="1"/>
      <w:numFmt w:val="decimal"/>
      <w:lvlText w:val="%1."/>
      <w:lvlJc w:val="left"/>
      <w:pPr>
        <w:ind w:left="480" w:hanging="480"/>
      </w:pPr>
      <w:rPr>
        <w:rFonts w:ascii="Times New Roman" w:eastAsiaTheme="minorEastAsia" w:hAnsi="Times New Roman" w:cs="Times New Roman"/>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BF6576E"/>
    <w:multiLevelType w:val="hybridMultilevel"/>
    <w:tmpl w:val="8D125E6A"/>
    <w:lvl w:ilvl="0" w:tplc="FAAA009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bordersDoNotSurroundHeader/>
  <w:bordersDoNotSurroundFooter/>
  <w:activeWritingStyle w:appName="MSWord" w:lang="en-US" w:vendorID="64" w:dllVersion="131078" w:nlCheck="1" w:checkStyle="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676"/>
    <w:rsid w:val="000F08BF"/>
    <w:rsid w:val="001C201F"/>
    <w:rsid w:val="00284DCE"/>
    <w:rsid w:val="003A6ECD"/>
    <w:rsid w:val="00411A95"/>
    <w:rsid w:val="005561EA"/>
    <w:rsid w:val="005F4E95"/>
    <w:rsid w:val="006508A5"/>
    <w:rsid w:val="006F5676"/>
    <w:rsid w:val="00735C67"/>
    <w:rsid w:val="00922B6C"/>
    <w:rsid w:val="00931446"/>
    <w:rsid w:val="00B90DAC"/>
    <w:rsid w:val="00DF6618"/>
    <w:rsid w:val="00E5793A"/>
    <w:rsid w:val="00E7250C"/>
    <w:rsid w:val="00EE03EC"/>
    <w:rsid w:val="00FE07D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FADBB"/>
  <w15:chartTrackingRefBased/>
  <w15:docId w15:val="{78455E51-2616-41E0-AEE2-E9D038EE7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35C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31446"/>
    <w:pPr>
      <w:ind w:leftChars="200" w:left="480"/>
    </w:pPr>
  </w:style>
  <w:style w:type="paragraph" w:styleId="a5">
    <w:name w:val="header"/>
    <w:basedOn w:val="a"/>
    <w:link w:val="a6"/>
    <w:uiPriority w:val="99"/>
    <w:unhideWhenUsed/>
    <w:rsid w:val="00B90DAC"/>
    <w:pPr>
      <w:tabs>
        <w:tab w:val="center" w:pos="4153"/>
        <w:tab w:val="right" w:pos="8306"/>
      </w:tabs>
      <w:snapToGrid w:val="0"/>
    </w:pPr>
    <w:rPr>
      <w:sz w:val="20"/>
      <w:szCs w:val="20"/>
    </w:rPr>
  </w:style>
  <w:style w:type="character" w:customStyle="1" w:styleId="a6">
    <w:name w:val="頁首 字元"/>
    <w:basedOn w:val="a0"/>
    <w:link w:val="a5"/>
    <w:uiPriority w:val="99"/>
    <w:rsid w:val="00B90DAC"/>
    <w:rPr>
      <w:sz w:val="20"/>
      <w:szCs w:val="20"/>
    </w:rPr>
  </w:style>
  <w:style w:type="paragraph" w:styleId="a7">
    <w:name w:val="footer"/>
    <w:basedOn w:val="a"/>
    <w:link w:val="a8"/>
    <w:uiPriority w:val="99"/>
    <w:unhideWhenUsed/>
    <w:rsid w:val="00B90DAC"/>
    <w:pPr>
      <w:tabs>
        <w:tab w:val="center" w:pos="4153"/>
        <w:tab w:val="right" w:pos="8306"/>
      </w:tabs>
      <w:snapToGrid w:val="0"/>
    </w:pPr>
    <w:rPr>
      <w:sz w:val="20"/>
      <w:szCs w:val="20"/>
    </w:rPr>
  </w:style>
  <w:style w:type="character" w:customStyle="1" w:styleId="a8">
    <w:name w:val="頁尾 字元"/>
    <w:basedOn w:val="a0"/>
    <w:link w:val="a7"/>
    <w:uiPriority w:val="99"/>
    <w:rsid w:val="00B90DA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910727">
      <w:bodyDiv w:val="1"/>
      <w:marLeft w:val="0"/>
      <w:marRight w:val="0"/>
      <w:marTop w:val="0"/>
      <w:marBottom w:val="0"/>
      <w:divBdr>
        <w:top w:val="none" w:sz="0" w:space="0" w:color="auto"/>
        <w:left w:val="none" w:sz="0" w:space="0" w:color="auto"/>
        <w:bottom w:val="none" w:sz="0" w:space="0" w:color="auto"/>
        <w:right w:val="none" w:sz="0" w:space="0" w:color="auto"/>
      </w:divBdr>
    </w:div>
    <w:div w:id="1866793241">
      <w:bodyDiv w:val="1"/>
      <w:marLeft w:val="0"/>
      <w:marRight w:val="0"/>
      <w:marTop w:val="0"/>
      <w:marBottom w:val="0"/>
      <w:divBdr>
        <w:top w:val="none" w:sz="0" w:space="0" w:color="auto"/>
        <w:left w:val="none" w:sz="0" w:space="0" w:color="auto"/>
        <w:bottom w:val="none" w:sz="0" w:space="0" w:color="auto"/>
        <w:right w:val="none" w:sz="0" w:space="0" w:color="auto"/>
      </w:divBdr>
      <w:divsChild>
        <w:div w:id="1741369074">
          <w:marLeft w:val="0"/>
          <w:marRight w:val="0"/>
          <w:marTop w:val="0"/>
          <w:marBottom w:val="0"/>
          <w:divBdr>
            <w:top w:val="none" w:sz="0" w:space="0" w:color="auto"/>
            <w:left w:val="none" w:sz="0" w:space="0" w:color="auto"/>
            <w:bottom w:val="none" w:sz="0" w:space="0" w:color="auto"/>
            <w:right w:val="none" w:sz="0" w:space="0" w:color="auto"/>
          </w:divBdr>
        </w:div>
        <w:div w:id="569268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Pages>
  <Words>231</Words>
  <Characters>1322</Characters>
  <Application>Microsoft Office Word</Application>
  <DocSecurity>0</DocSecurity>
  <Lines>11</Lines>
  <Paragraphs>3</Paragraphs>
  <ScaleCrop>false</ScaleCrop>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9</cp:revision>
  <dcterms:created xsi:type="dcterms:W3CDTF">2019-03-06T07:07:00Z</dcterms:created>
  <dcterms:modified xsi:type="dcterms:W3CDTF">2019-03-06T10:06:00Z</dcterms:modified>
</cp:coreProperties>
</file>