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General background</w:t>
      </w:r>
    </w:p>
    <w:p w:rsidR="00B232FB" w:rsidRDefault="00B232FB" w:rsidP="00B232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IBS = Irritable Bowel Syndrome</w:t>
      </w:r>
    </w:p>
    <w:p w:rsidR="00412052" w:rsidRDefault="00412052" w:rsidP="004120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412052">
        <w:rPr>
          <w:rFonts w:ascii="Arial" w:hAnsi="Arial" w:cs="Arial"/>
          <w:sz w:val="24"/>
          <w:szCs w:val="40"/>
        </w:rPr>
        <w:t>The prevalence, patterns and impact of irritable bowel syndrome: an international survey of 40,000 subjects</w:t>
      </w:r>
      <w:r>
        <w:rPr>
          <w:rFonts w:ascii="Arial" w:hAnsi="Arial" w:cs="Arial"/>
          <w:sz w:val="24"/>
          <w:szCs w:val="40"/>
        </w:rPr>
        <w:t xml:space="preserve"> – IBS affects </w:t>
      </w:r>
      <w:r w:rsidR="00EF7E29">
        <w:rPr>
          <w:rFonts w:ascii="Arial" w:hAnsi="Arial" w:cs="Arial"/>
          <w:sz w:val="24"/>
          <w:szCs w:val="40"/>
        </w:rPr>
        <w:t xml:space="preserve">10 to 15 </w:t>
      </w:r>
      <w:proofErr w:type="spellStart"/>
      <w:r w:rsidR="00EF7E29">
        <w:rPr>
          <w:rFonts w:ascii="Arial" w:hAnsi="Arial" w:cs="Arial"/>
          <w:sz w:val="24"/>
          <w:szCs w:val="40"/>
        </w:rPr>
        <w:t>percents</w:t>
      </w:r>
      <w:proofErr w:type="spellEnd"/>
    </w:p>
    <w:p w:rsidR="00B232FB" w:rsidRDefault="003336DB" w:rsidP="003336DB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40"/>
        </w:rPr>
      </w:pPr>
      <w:r w:rsidRPr="003336DB">
        <w:rPr>
          <w:rFonts w:ascii="Arial" w:hAnsi="Arial" w:cs="Arial"/>
          <w:color w:val="0070C0"/>
          <w:sz w:val="24"/>
          <w:szCs w:val="40"/>
        </w:rPr>
        <w:t xml:space="preserve">Diagnosis and management of IBs </w:t>
      </w:r>
      <w:r>
        <w:rPr>
          <w:rFonts w:ascii="Arial" w:hAnsi="Arial" w:cs="Arial"/>
          <w:sz w:val="24"/>
          <w:szCs w:val="40"/>
        </w:rPr>
        <w:t xml:space="preserve">– </w:t>
      </w:r>
      <w:r w:rsidR="00B232FB">
        <w:rPr>
          <w:rFonts w:ascii="Arial" w:hAnsi="Arial" w:cs="Arial"/>
          <w:sz w:val="24"/>
          <w:szCs w:val="40"/>
        </w:rPr>
        <w:t xml:space="preserve">Diagnose </w:t>
      </w:r>
      <w:r>
        <w:rPr>
          <w:rFonts w:ascii="Arial" w:hAnsi="Arial" w:cs="Arial"/>
          <w:sz w:val="24"/>
          <w:szCs w:val="40"/>
        </w:rPr>
        <w:t xml:space="preserve">mostly based on symptoms </w:t>
      </w:r>
      <w:r w:rsidR="00B232FB" w:rsidRPr="003336DB">
        <w:rPr>
          <w:rFonts w:ascii="Arial" w:hAnsi="Arial" w:cs="Arial"/>
          <w:i/>
          <w:iCs/>
          <w:sz w:val="24"/>
          <w:szCs w:val="40"/>
        </w:rPr>
        <w:t>and treatment (neurotransmitter something) – colonoscopy and lab test are normal</w:t>
      </w:r>
    </w:p>
    <w:p w:rsidR="00EF7E29" w:rsidRPr="0012158C" w:rsidRDefault="00EF7E29" w:rsidP="00EF7E29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40"/>
        </w:rPr>
      </w:pPr>
      <w:r w:rsidRPr="003336DB">
        <w:rPr>
          <w:rFonts w:ascii="Arial" w:hAnsi="Arial" w:cs="Arial"/>
          <w:color w:val="0070C0"/>
          <w:sz w:val="24"/>
          <w:szCs w:val="40"/>
        </w:rPr>
        <w:t>Diagnosis and management of IBs</w:t>
      </w:r>
      <w:r>
        <w:rPr>
          <w:rFonts w:ascii="Arial" w:hAnsi="Arial" w:cs="Arial"/>
          <w:color w:val="0070C0"/>
          <w:sz w:val="24"/>
          <w:szCs w:val="40"/>
        </w:rPr>
        <w:t xml:space="preserve"> </w:t>
      </w:r>
      <w:r w:rsidRPr="006860E0">
        <w:rPr>
          <w:rFonts w:ascii="Arial" w:hAnsi="Arial" w:cs="Arial"/>
          <w:color w:val="000000" w:themeColor="text1"/>
          <w:sz w:val="24"/>
          <w:szCs w:val="40"/>
        </w:rPr>
        <w:t>– 3 subtypes</w:t>
      </w:r>
    </w:p>
    <w:p w:rsidR="0012158C" w:rsidRPr="0012158C" w:rsidRDefault="0012158C" w:rsidP="001215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12158C">
        <w:rPr>
          <w:rFonts w:ascii="Arial" w:hAnsi="Arial" w:cs="Arial"/>
          <w:color w:val="0070C0"/>
          <w:sz w:val="24"/>
          <w:szCs w:val="40"/>
        </w:rPr>
        <w:t xml:space="preserve">New Insights into the Pathophysiology of Irritable Bowel Syndrome: Implications for Future Treatments </w:t>
      </w:r>
      <w:r>
        <w:rPr>
          <w:rFonts w:ascii="Arial" w:hAnsi="Arial" w:cs="Arial"/>
          <w:sz w:val="24"/>
          <w:szCs w:val="40"/>
        </w:rPr>
        <w:t>-</w:t>
      </w:r>
      <w:r w:rsidRPr="0012158C">
        <w:rPr>
          <w:rFonts w:ascii="Arial" w:hAnsi="Arial" w:cs="Arial"/>
          <w:sz w:val="24"/>
          <w:szCs w:val="40"/>
        </w:rPr>
        <w:t xml:space="preserve"> Altered motility, visceral hypersensitivity, abnormal brain–gut communications, autonomic dysfunction, and immune activation may all be involved in the pathophysiology of IBS.</w:t>
      </w:r>
    </w:p>
    <w:p w:rsidR="00EF7E29" w:rsidRPr="003336DB" w:rsidRDefault="006860E0" w:rsidP="00EF7E29">
      <w:pPr>
        <w:pStyle w:val="ListParagraph"/>
        <w:rPr>
          <w:rFonts w:ascii="Arial" w:hAnsi="Arial" w:cs="Arial"/>
          <w:i/>
          <w:iCs/>
          <w:sz w:val="24"/>
          <w:szCs w:val="40"/>
        </w:rPr>
      </w:pPr>
      <w:r w:rsidRPr="006860E0">
        <w:rPr>
          <w:rFonts w:ascii="Arial" w:hAnsi="Arial" w:cs="Arial"/>
          <w:i/>
          <w:iCs/>
          <w:noProof/>
          <w:sz w:val="24"/>
          <w:szCs w:val="40"/>
        </w:rPr>
        <w:drawing>
          <wp:inline distT="0" distB="0" distL="0" distR="0" wp14:anchorId="295BB5B9" wp14:editId="348B8493">
            <wp:extent cx="3067832" cy="42618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095" cy="42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8" w:rsidRDefault="00847BB8" w:rsidP="00B232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Romes</w:t>
      </w:r>
      <w:proofErr w:type="spellEnd"/>
      <w:r>
        <w:rPr>
          <w:rFonts w:ascii="Arial" w:hAnsi="Arial" w:cs="Arial"/>
          <w:sz w:val="24"/>
          <w:szCs w:val="40"/>
        </w:rPr>
        <w:t xml:space="preserve"> criteria?</w:t>
      </w:r>
    </w:p>
    <w:p w:rsidR="00285A51" w:rsidRPr="00285A51" w:rsidRDefault="00A12700" w:rsidP="00A127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A12700">
        <w:rPr>
          <w:rFonts w:ascii="Arial" w:hAnsi="Arial" w:cs="Arial"/>
          <w:color w:val="0070C0"/>
          <w:sz w:val="24"/>
          <w:szCs w:val="40"/>
        </w:rPr>
        <w:t xml:space="preserve">THE IRRITABLE BOWEL SYNDROME </w:t>
      </w:r>
      <w:r>
        <w:rPr>
          <w:rFonts w:ascii="Arial" w:hAnsi="Arial" w:cs="Arial"/>
          <w:sz w:val="24"/>
          <w:szCs w:val="40"/>
        </w:rPr>
        <w:t xml:space="preserve">– </w:t>
      </w:r>
      <w:r w:rsidR="00285A51" w:rsidRPr="00285A51">
        <w:rPr>
          <w:rFonts w:ascii="Arial" w:hAnsi="Arial" w:cs="Arial"/>
          <w:sz w:val="24"/>
          <w:szCs w:val="40"/>
        </w:rPr>
        <w:t>Therefore, the irritable bowel syndrome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can be reasonably diagnosed on the basis of flexible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sigmoidoscopy alone, in patients who are less than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50 years old, or colonoscopy, in those who are 50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or older; barium enema and flexible sigmoidoscopy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are often substituted for colonoscopy. In patients with</w:t>
      </w:r>
      <w:r w:rsidR="00285A51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285A51" w:rsidRPr="00285A51">
        <w:rPr>
          <w:rFonts w:ascii="Arial" w:hAnsi="Arial" w:cs="Arial"/>
          <w:sz w:val="24"/>
          <w:szCs w:val="40"/>
        </w:rPr>
        <w:t>diarrhea</w:t>
      </w:r>
      <w:proofErr w:type="spellEnd"/>
      <w:r w:rsidR="00285A51" w:rsidRPr="00285A51">
        <w:rPr>
          <w:rFonts w:ascii="Arial" w:hAnsi="Arial" w:cs="Arial"/>
          <w:sz w:val="24"/>
          <w:szCs w:val="40"/>
        </w:rPr>
        <w:t>, a biopsy specimen should be obtained from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the mucosa of the descending colon to rule out microscopic colitis.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Current state of the field</w:t>
      </w:r>
    </w:p>
    <w:p w:rsidR="007B6A91" w:rsidRDefault="007B6A91" w:rsidP="007B6A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313FF1">
        <w:rPr>
          <w:rFonts w:ascii="Arial" w:hAnsi="Arial" w:cs="Arial"/>
          <w:color w:val="0070C0"/>
          <w:sz w:val="24"/>
          <w:szCs w:val="40"/>
        </w:rPr>
        <w:t xml:space="preserve">A clinician’s guide to microbiome analysis </w:t>
      </w:r>
      <w:r>
        <w:rPr>
          <w:rFonts w:ascii="Arial" w:hAnsi="Arial" w:cs="Arial"/>
          <w:sz w:val="24"/>
          <w:szCs w:val="40"/>
        </w:rPr>
        <w:t>– literature review to start</w:t>
      </w:r>
    </w:p>
    <w:p w:rsidR="00F32015" w:rsidRDefault="00F32015" w:rsidP="00F320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 w:rsidRPr="00F32015">
        <w:rPr>
          <w:rFonts w:ascii="Arial" w:hAnsi="Arial" w:cs="Arial"/>
          <w:sz w:val="24"/>
          <w:szCs w:val="40"/>
        </w:rPr>
        <w:lastRenderedPageBreak/>
        <w:t>The</w:t>
      </w:r>
      <w:r>
        <w:rPr>
          <w:rFonts w:ascii="Arial" w:hAnsi="Arial" w:cs="Arial"/>
          <w:sz w:val="24"/>
          <w:szCs w:val="40"/>
        </w:rPr>
        <w:t>n</w:t>
      </w:r>
      <w:r w:rsidRPr="00F32015">
        <w:rPr>
          <w:rFonts w:ascii="Arial" w:hAnsi="Arial" w:cs="Arial"/>
          <w:sz w:val="24"/>
          <w:szCs w:val="40"/>
        </w:rPr>
        <w:t>strongest</w:t>
      </w:r>
      <w:proofErr w:type="spellEnd"/>
      <w:r w:rsidRPr="00F32015">
        <w:rPr>
          <w:rFonts w:ascii="Arial" w:hAnsi="Arial" w:cs="Arial"/>
          <w:sz w:val="24"/>
          <w:szCs w:val="40"/>
        </w:rPr>
        <w:t xml:space="preserve"> links between altered microbiome function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and human health or disease arguably involve bacterial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metabolites but, even in those cases, most of the evidence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relies on correlation between an altered microbiota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and pathophysiology, rather than a demonstrated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microbial causative mechanism.</w:t>
      </w:r>
    </w:p>
    <w:p w:rsidR="006D78E9" w:rsidRPr="002663FF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>Complex communities of microorganisms live on and in the human body, and</w:t>
      </w:r>
      <w:r w:rsidR="002663FF">
        <w:rPr>
          <w:rFonts w:ascii="Arial" w:hAnsi="Arial" w:cs="Arial"/>
          <w:sz w:val="24"/>
          <w:szCs w:val="40"/>
        </w:rPr>
        <w:t xml:space="preserve"> </w:t>
      </w:r>
      <w:r w:rsidRPr="002663FF">
        <w:rPr>
          <w:rFonts w:ascii="Arial" w:hAnsi="Arial" w:cs="Arial"/>
          <w:sz w:val="24"/>
          <w:szCs w:val="40"/>
        </w:rPr>
        <w:t>variations in the composition and function of these communities are increasingly linked to various conditions and diseases</w:t>
      </w:r>
    </w:p>
    <w:p w:rsidR="006D78E9" w:rsidRPr="002663FF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 xml:space="preserve">Although it is not known if microbiome changes are causative or consequential in most </w:t>
      </w:r>
      <w:proofErr w:type="spellStart"/>
      <w:r w:rsidRPr="002663FF">
        <w:rPr>
          <w:rFonts w:ascii="Arial" w:hAnsi="Arial" w:cs="Arial"/>
          <w:sz w:val="24"/>
          <w:szCs w:val="40"/>
        </w:rPr>
        <w:t>pathophysiologies</w:t>
      </w:r>
      <w:proofErr w:type="spellEnd"/>
      <w:r w:rsidRPr="002663FF">
        <w:rPr>
          <w:rFonts w:ascii="Arial" w:hAnsi="Arial" w:cs="Arial"/>
          <w:sz w:val="24"/>
          <w:szCs w:val="40"/>
        </w:rPr>
        <w:t>, they might provide biomarkers for disease detection or management</w:t>
      </w:r>
    </w:p>
    <w:p w:rsidR="006D78E9" w:rsidRPr="002663FF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 xml:space="preserve">Microbiome analysis is likely to become a routine component of secondary health care and is </w:t>
      </w:r>
      <w:r w:rsidRPr="002663FF">
        <w:rPr>
          <w:rFonts w:ascii="Arial" w:hAnsi="Arial" w:cs="Arial"/>
          <w:sz w:val="24"/>
          <w:szCs w:val="40"/>
        </w:rPr>
        <w:t>emerging as a modifiable environmental risk factor in multifactorial diseases that could be targeted by novel therapeutics</w:t>
      </w:r>
    </w:p>
    <w:p w:rsidR="006D78E9" w:rsidRPr="002663FF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 xml:space="preserve">Technology advancements are leading to a range of powerful methods for microbiome analysis </w:t>
      </w:r>
      <w:r w:rsidRPr="002663FF">
        <w:rPr>
          <w:rFonts w:ascii="Arial" w:hAnsi="Arial" w:cs="Arial"/>
          <w:sz w:val="24"/>
          <w:szCs w:val="40"/>
        </w:rPr>
        <w:t>becoming available and affordable for clinical studies</w:t>
      </w:r>
    </w:p>
    <w:p w:rsidR="006D78E9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>Judicious choice of sample type and sequencing platform are required to maximize</w:t>
      </w:r>
      <w:r w:rsidR="002663FF">
        <w:rPr>
          <w:rFonts w:ascii="Arial" w:hAnsi="Arial" w:cs="Arial"/>
          <w:sz w:val="24"/>
          <w:szCs w:val="40"/>
        </w:rPr>
        <w:t xml:space="preserve"> </w:t>
      </w:r>
      <w:r w:rsidRPr="002663FF">
        <w:rPr>
          <w:rFonts w:ascii="Arial" w:hAnsi="Arial" w:cs="Arial"/>
          <w:sz w:val="24"/>
          <w:szCs w:val="40"/>
        </w:rPr>
        <w:t>the clinical utility of microbiome data</w:t>
      </w:r>
    </w:p>
    <w:p w:rsidR="003F6F7C" w:rsidRDefault="003F6F7C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standardised methods</w:t>
      </w:r>
    </w:p>
    <w:p w:rsidR="003F6F7C" w:rsidRDefault="003F6F7C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Terms might be different from other papers</w:t>
      </w:r>
    </w:p>
    <w:p w:rsidR="003F6F7C" w:rsidRDefault="003F6F7C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16S for prokaryotes &amp; 18S for eukaryotes</w:t>
      </w:r>
    </w:p>
    <w:p w:rsidR="00330388" w:rsidRDefault="00330388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Faecal samples</w:t>
      </w:r>
    </w:p>
    <w:p w:rsidR="00E83607" w:rsidRDefault="00E83607" w:rsidP="00E836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E83607">
        <w:rPr>
          <w:rFonts w:ascii="Arial" w:hAnsi="Arial" w:cs="Arial"/>
          <w:sz w:val="24"/>
          <w:szCs w:val="40"/>
        </w:rPr>
        <w:t>If investigating a new clinical question,</w:t>
      </w:r>
      <w:r>
        <w:rPr>
          <w:rFonts w:ascii="Arial" w:hAnsi="Arial" w:cs="Arial"/>
          <w:sz w:val="24"/>
          <w:szCs w:val="40"/>
        </w:rPr>
        <w:t xml:space="preserve"> </w:t>
      </w:r>
      <w:r w:rsidRPr="00E83607">
        <w:rPr>
          <w:rFonts w:ascii="Arial" w:hAnsi="Arial" w:cs="Arial"/>
          <w:sz w:val="24"/>
          <w:szCs w:val="40"/>
        </w:rPr>
        <w:t>the difference between faecal and mucosal microbiota</w:t>
      </w:r>
      <w:r>
        <w:rPr>
          <w:rFonts w:ascii="Arial" w:hAnsi="Arial" w:cs="Arial"/>
          <w:sz w:val="24"/>
          <w:szCs w:val="40"/>
        </w:rPr>
        <w:t xml:space="preserve"> </w:t>
      </w:r>
      <w:r w:rsidRPr="00E83607">
        <w:rPr>
          <w:rFonts w:ascii="Arial" w:hAnsi="Arial" w:cs="Arial"/>
          <w:sz w:val="24"/>
          <w:szCs w:val="40"/>
        </w:rPr>
        <w:t>should be kept in mind, especially if aiming at</w:t>
      </w:r>
      <w:r>
        <w:rPr>
          <w:rFonts w:ascii="Arial" w:hAnsi="Arial" w:cs="Arial"/>
          <w:sz w:val="24"/>
          <w:szCs w:val="40"/>
        </w:rPr>
        <w:t xml:space="preserve"> </w:t>
      </w:r>
      <w:r w:rsidRPr="00E83607">
        <w:rPr>
          <w:rFonts w:ascii="Arial" w:hAnsi="Arial" w:cs="Arial"/>
          <w:sz w:val="24"/>
          <w:szCs w:val="40"/>
        </w:rPr>
        <w:t>microbiome-related</w:t>
      </w:r>
      <w:r>
        <w:rPr>
          <w:rFonts w:ascii="Arial" w:hAnsi="Arial" w:cs="Arial"/>
          <w:sz w:val="24"/>
          <w:szCs w:val="40"/>
        </w:rPr>
        <w:t xml:space="preserve"> </w:t>
      </w:r>
      <w:r w:rsidRPr="00E83607">
        <w:rPr>
          <w:rFonts w:ascii="Arial" w:hAnsi="Arial" w:cs="Arial"/>
          <w:sz w:val="24"/>
          <w:szCs w:val="40"/>
        </w:rPr>
        <w:t>diagnostics or biomarkers.</w:t>
      </w:r>
    </w:p>
    <w:p w:rsidR="00BF18DC" w:rsidRDefault="00BF18DC" w:rsidP="00BF18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BF18DC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45C37AB3" wp14:editId="4C4E7196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36" w:rsidRDefault="00675836" w:rsidP="0067583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75836">
        <w:rPr>
          <w:rFonts w:ascii="Arial" w:hAnsi="Arial" w:cs="Arial"/>
          <w:sz w:val="24"/>
          <w:szCs w:val="40"/>
        </w:rPr>
        <w:t>sequence-based</w:t>
      </w:r>
      <w:r>
        <w:rPr>
          <w:rFonts w:ascii="Arial" w:hAnsi="Arial" w:cs="Arial"/>
          <w:sz w:val="24"/>
          <w:szCs w:val="40"/>
        </w:rPr>
        <w:t xml:space="preserve"> </w:t>
      </w:r>
      <w:r w:rsidRPr="00675836">
        <w:rPr>
          <w:rFonts w:ascii="Arial" w:hAnsi="Arial" w:cs="Arial"/>
          <w:sz w:val="24"/>
          <w:szCs w:val="40"/>
        </w:rPr>
        <w:t>microbiome</w:t>
      </w:r>
      <w:r>
        <w:rPr>
          <w:rFonts w:ascii="Arial" w:hAnsi="Arial" w:cs="Arial"/>
          <w:sz w:val="24"/>
          <w:szCs w:val="40"/>
        </w:rPr>
        <w:t xml:space="preserve"> – who is there</w:t>
      </w:r>
    </w:p>
    <w:p w:rsidR="00675836" w:rsidRDefault="00675836" w:rsidP="0067583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metagenomics – what can they do</w:t>
      </w:r>
      <w:r w:rsidR="002423A5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2423A5">
        <w:rPr>
          <w:rFonts w:ascii="Arial" w:hAnsi="Arial" w:cs="Arial"/>
          <w:sz w:val="24"/>
          <w:szCs w:val="40"/>
        </w:rPr>
        <w:t>phylogenetics</w:t>
      </w:r>
      <w:proofErr w:type="spellEnd"/>
      <w:r w:rsidR="002423A5">
        <w:rPr>
          <w:rFonts w:ascii="Arial" w:hAnsi="Arial" w:cs="Arial"/>
          <w:sz w:val="24"/>
          <w:szCs w:val="40"/>
        </w:rPr>
        <w:t xml:space="preserve"> – rely on accuracy of databases</w:t>
      </w:r>
    </w:p>
    <w:p w:rsidR="00024A67" w:rsidRDefault="00024A67" w:rsidP="00024A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 w:rsidRPr="00024A67">
        <w:rPr>
          <w:rFonts w:ascii="Arial" w:hAnsi="Arial" w:cs="Arial"/>
          <w:sz w:val="24"/>
          <w:szCs w:val="40"/>
        </w:rPr>
        <w:t>metatranscriptomics</w:t>
      </w:r>
      <w:proofErr w:type="spellEnd"/>
      <w:r>
        <w:rPr>
          <w:rFonts w:ascii="Arial" w:hAnsi="Arial" w:cs="Arial"/>
          <w:sz w:val="24"/>
          <w:szCs w:val="40"/>
        </w:rPr>
        <w:t xml:space="preserve"> – what are they doing</w:t>
      </w:r>
    </w:p>
    <w:p w:rsidR="008A413B" w:rsidRPr="00675836" w:rsidRDefault="008A413B" w:rsidP="00024A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rRNA</w:t>
      </w:r>
      <w:proofErr w:type="spellEnd"/>
      <w:r>
        <w:rPr>
          <w:rFonts w:ascii="Arial" w:hAnsi="Arial" w:cs="Arial"/>
          <w:sz w:val="24"/>
          <w:szCs w:val="40"/>
        </w:rPr>
        <w:t xml:space="preserve"> – who is active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Knowledge gaps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Clear statement of aims of review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Detail of specific method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this method fits with </w:t>
      </w:r>
      <w:proofErr w:type="gramStart"/>
      <w:r>
        <w:rPr>
          <w:rFonts w:ascii="Arial" w:hAnsi="Arial" w:cs="Arial"/>
          <w:sz w:val="24"/>
          <w:szCs w:val="40"/>
        </w:rPr>
        <w:t>alternatives</w:t>
      </w:r>
      <w:proofErr w:type="gramEnd"/>
    </w:p>
    <w:p w:rsidR="001C3EBE" w:rsidRDefault="007B6A91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Compare and contrast method with alternatives</w:t>
      </w:r>
    </w:p>
    <w:p w:rsidR="00B04714" w:rsidRDefault="00B04714" w:rsidP="00B0471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4"/>
          <w:szCs w:val="40"/>
        </w:rPr>
      </w:pPr>
      <w:r w:rsidRPr="00B04714">
        <w:rPr>
          <w:rFonts w:ascii="Arial" w:hAnsi="Arial" w:cs="Arial"/>
          <w:color w:val="0070C0"/>
          <w:sz w:val="24"/>
          <w:szCs w:val="40"/>
        </w:rPr>
        <w:t>An excess of prior irritable bowel syndrome diagnoses or treatments in Celiac disease: evidence of diagnostic delay</w:t>
      </w:r>
    </w:p>
    <w:p w:rsidR="008D1C3F" w:rsidRDefault="008D1C3F" w:rsidP="008D1C3F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4"/>
          <w:szCs w:val="40"/>
        </w:rPr>
      </w:pPr>
      <w:bookmarkStart w:id="0" w:name="_GoBack"/>
      <w:r w:rsidRPr="008D1C3F">
        <w:rPr>
          <w:rFonts w:ascii="Arial" w:hAnsi="Arial" w:cs="Arial"/>
          <w:color w:val="0070C0"/>
          <w:sz w:val="24"/>
          <w:szCs w:val="40"/>
        </w:rPr>
        <w:t>The Manitoba Inflammatory Bowel Disease Cohort Study:</w:t>
      </w:r>
      <w:r>
        <w:rPr>
          <w:rFonts w:ascii="Arial" w:hAnsi="Arial" w:cs="Arial"/>
          <w:color w:val="0070C0"/>
          <w:sz w:val="24"/>
          <w:szCs w:val="40"/>
        </w:rPr>
        <w:t xml:space="preserve"> </w:t>
      </w:r>
      <w:r w:rsidRPr="008D1C3F">
        <w:rPr>
          <w:rFonts w:ascii="Arial" w:hAnsi="Arial" w:cs="Arial"/>
          <w:color w:val="0070C0"/>
          <w:sz w:val="24"/>
          <w:szCs w:val="40"/>
        </w:rPr>
        <w:t>Prolonged Symptoms Before Diagnosis—How Much Is Irritable</w:t>
      </w:r>
      <w:r>
        <w:rPr>
          <w:rFonts w:ascii="Arial" w:hAnsi="Arial" w:cs="Arial"/>
          <w:color w:val="0070C0"/>
          <w:sz w:val="24"/>
          <w:szCs w:val="40"/>
        </w:rPr>
        <w:t xml:space="preserve"> </w:t>
      </w:r>
      <w:r w:rsidRPr="008D1C3F">
        <w:rPr>
          <w:rFonts w:ascii="Arial" w:hAnsi="Arial" w:cs="Arial"/>
          <w:color w:val="0070C0"/>
          <w:sz w:val="24"/>
          <w:szCs w:val="40"/>
        </w:rPr>
        <w:t>Bowel Syndrome?</w:t>
      </w:r>
    </w:p>
    <w:bookmarkEnd w:id="0"/>
    <w:p w:rsidR="00CF3215" w:rsidRPr="008D1C3F" w:rsidRDefault="00F84967" w:rsidP="00CF3215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4"/>
          <w:szCs w:val="40"/>
        </w:rPr>
      </w:pPr>
      <w:r>
        <w:fldChar w:fldCharType="begin"/>
      </w:r>
      <w:r>
        <w:instrText xml:space="preserve"> HYPERLINK "https://iffgd.org/wp-content/uploads/IBSinRealWorld_Final.pdf" </w:instrText>
      </w:r>
      <w:r>
        <w:fldChar w:fldCharType="separate"/>
      </w:r>
      <w:r w:rsidR="00CF3215" w:rsidRPr="000B1461">
        <w:rPr>
          <w:rStyle w:val="Hyperlink"/>
          <w:rFonts w:ascii="Arial" w:hAnsi="Arial" w:cs="Arial"/>
          <w:sz w:val="24"/>
          <w:szCs w:val="40"/>
        </w:rPr>
        <w:t>https://iffgd.org/wp-content/uploads/IBSinRealWorld_Final.pdf</w:t>
      </w:r>
      <w:r>
        <w:rPr>
          <w:rStyle w:val="Hyperlink"/>
          <w:rFonts w:ascii="Arial" w:hAnsi="Arial" w:cs="Arial"/>
          <w:sz w:val="24"/>
          <w:szCs w:val="40"/>
        </w:rPr>
        <w:fldChar w:fldCharType="end"/>
      </w:r>
      <w:r w:rsidR="00CF3215">
        <w:rPr>
          <w:rFonts w:ascii="Arial" w:hAnsi="Arial" w:cs="Arial"/>
          <w:color w:val="0070C0"/>
          <w:sz w:val="24"/>
          <w:szCs w:val="40"/>
        </w:rPr>
        <w:t xml:space="preserve"> </w:t>
      </w:r>
      <w:r w:rsidR="00CF3215" w:rsidRPr="00CF3215">
        <w:rPr>
          <w:rFonts w:ascii="Arial" w:hAnsi="Arial" w:cs="Arial"/>
          <w:color w:val="000000" w:themeColor="text1"/>
          <w:sz w:val="24"/>
          <w:szCs w:val="40"/>
        </w:rPr>
        <w:t>- 43% suffered five or more years before diagnosis</w:t>
      </w:r>
    </w:p>
    <w:p w:rsidR="007B6A91" w:rsidRDefault="007B6A91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Clinical relevance</w:t>
      </w:r>
    </w:p>
    <w:p w:rsidR="007B6A91" w:rsidRPr="001C3EBE" w:rsidRDefault="007B6A91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Implications for the field</w:t>
      </w:r>
    </w:p>
    <w:sectPr w:rsidR="007B6A91" w:rsidRPr="001C3E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411C"/>
    <w:multiLevelType w:val="hybridMultilevel"/>
    <w:tmpl w:val="2BF6C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67A0"/>
    <w:multiLevelType w:val="hybridMultilevel"/>
    <w:tmpl w:val="280A5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2MTA0sjSysDA2sDRW0lEKTi0uzszPAykwrQUAVfgaHCwAAAA="/>
  </w:docVars>
  <w:rsids>
    <w:rsidRoot w:val="002642EA"/>
    <w:rsid w:val="000156A5"/>
    <w:rsid w:val="00024A67"/>
    <w:rsid w:val="0003627E"/>
    <w:rsid w:val="00090FF5"/>
    <w:rsid w:val="0012158C"/>
    <w:rsid w:val="00174C3A"/>
    <w:rsid w:val="001C3EBE"/>
    <w:rsid w:val="00220B22"/>
    <w:rsid w:val="002423A5"/>
    <w:rsid w:val="002642EA"/>
    <w:rsid w:val="002663FF"/>
    <w:rsid w:val="00285A51"/>
    <w:rsid w:val="00313FF1"/>
    <w:rsid w:val="00330388"/>
    <w:rsid w:val="003336DB"/>
    <w:rsid w:val="003F6F7C"/>
    <w:rsid w:val="00412052"/>
    <w:rsid w:val="004375F7"/>
    <w:rsid w:val="00456D79"/>
    <w:rsid w:val="005645B5"/>
    <w:rsid w:val="005B12CA"/>
    <w:rsid w:val="00630593"/>
    <w:rsid w:val="00675836"/>
    <w:rsid w:val="006860E0"/>
    <w:rsid w:val="006D78E9"/>
    <w:rsid w:val="007140D0"/>
    <w:rsid w:val="007B0FFC"/>
    <w:rsid w:val="007B6A91"/>
    <w:rsid w:val="008350AA"/>
    <w:rsid w:val="00847BB8"/>
    <w:rsid w:val="008A413B"/>
    <w:rsid w:val="008D1C3F"/>
    <w:rsid w:val="008E3D8D"/>
    <w:rsid w:val="0093762D"/>
    <w:rsid w:val="00A12700"/>
    <w:rsid w:val="00A66087"/>
    <w:rsid w:val="00A91FFF"/>
    <w:rsid w:val="00AA6742"/>
    <w:rsid w:val="00B04714"/>
    <w:rsid w:val="00B232FB"/>
    <w:rsid w:val="00B403B2"/>
    <w:rsid w:val="00BF18DC"/>
    <w:rsid w:val="00C84B2E"/>
    <w:rsid w:val="00CF3215"/>
    <w:rsid w:val="00DA759F"/>
    <w:rsid w:val="00E83607"/>
    <w:rsid w:val="00E915B5"/>
    <w:rsid w:val="00EA5125"/>
    <w:rsid w:val="00EF7E29"/>
    <w:rsid w:val="00F06C29"/>
    <w:rsid w:val="00F16CDE"/>
    <w:rsid w:val="00F32015"/>
    <w:rsid w:val="00F72524"/>
    <w:rsid w:val="00F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D793C-DECE-48E6-8B3B-FEFA970E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AU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2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2022-05-29T23:22:00Z</dcterms:created>
  <dcterms:modified xsi:type="dcterms:W3CDTF">2022-06-02T11:43:00Z</dcterms:modified>
</cp:coreProperties>
</file>