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I stopped setting one goal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Monday, 9:12 a.m.</w:t>
        <w:br w:type="textWrapping"/>
        <w:t xml:space="preserve">New channel test. New team. One number on the board.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kept it high, people froze.</w:t>
        <w:br w:type="textWrapping"/>
        <w:t xml:space="preserve">If I pulled it down, we’d sandbag.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erased it and wrote two: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🛬 Baseline: the promise we could stand behind.</w:t>
        <w:br w:type="textWrapping"/>
        <w:t xml:space="preserve">🛫 Stretch: the story if the bet worked.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one more line: The hypothesis (with context) we made to come up with that goal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feel the room change.</w:t>
        <w:br w:type="textWrapping"/>
        <w:t xml:space="preserve">Shoulders dropped. Questions got better.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2: small wins, fewer “are we there yet?” pings.</w:t>
        <w:br w:type="textWrapping"/>
        <w:t xml:space="preserve">Week 4: we hit the promise, missed the stretch, and found one edit that lifted D1 for the right cohort.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I learned the hard way:</w:t>
        <w:br w:type="textWrapping"/>
        <w:t xml:space="preserve">For work we’ve never done, one goal is a trap.</w:t>
        <w:br w:type="textWrapping"/>
        <w:t xml:space="preserve">Two numbers tell a truer story - a floor to stand on, a ceiling to reach for - and a guardrail keeps trust intact.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