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EXPERIMENT DESIGN 101 - Part 1: State the problem clearly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does not need to be solving a problem, but if it is, state the problem first.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it matters</w:t>
        <w:br w:type="textWrapping"/>
        <w:t xml:space="preserve">If the problem is fuzzy, the work will be too. Clear problem → clean plan → honest decision.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problem has 6 parts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Who is affected (segment).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metric shows the pain.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How it’s off (direction + size).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Where/when it happens (scope + window).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Why it matters (impact).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  <w:br w:type="textWrapping"/>
        <w:t xml:space="preserve">“Activation is low.”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“For new iOS users from ads, Day-1 activation fell 24% → 19% since Sept 1. This hits trial→paid and support load.”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One-sentence template</w:t>
        <w:br w:type="textWrapping"/>
        <w:t xml:space="preserve">“For [who], [metric] is [from → to / below X] in [where/when], which hurts [impact].”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two notes (optional, but useful)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Assumption: the new paywall flow raised friction.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Constraint: no extra paid traffic during the test window.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 use this</w:t>
        <w:br w:type="textWrapping"/>
        <w:t xml:space="preserve">I won’t green-light a test or a task until I can write the one sentence. It saves time, and the decision writes itself.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