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Projeção de Crescimento e Ampliação da Plataforma ClosetLab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FASE 1: Consolidação do Core Business (Meses 0-18)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Expansão do Público-Alvo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· Mês 6: Lançamento da plataforma para público masculino, com abordagem específica para dores masculinas (praticidade, roupas para trabalho, diferentes ocasiões sociais)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Mês 12: Implementação do módulo infantil, focando em praticidade para pais e estilo para crianças e adolescentes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 Mês 15: Desenvolvimento de conteúdo especializado para públicos maduros (55+), abordando estilo pós-carreira e adaptações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Tecnologia e Parcerias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· Mês 8: Integração com 50 novas marcas nacionais de médio e grande porte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 Mês 14: Desenvolvimento de API para conexão com e-commerces parceiros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 Mês 18: Sistema de cashback integrado com marcas parceiras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FASE 2: Expansão do Ecossistema (Meses 19-36)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Monetização Avançada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 Mês 20: Lançamento do programa "Style Pro" para influenciadores e profissionais de moda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· Mês 24: Implementação do marketplace integrado com gestão de pedidos unificada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 Mês 30: Sistema de assinatura premium com benefícios exclusivos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Tecnologia Física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 Mês 22: Parceria com 3 redes de varejo físico para implementação de provadores inteligentes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 Mês 28: Desenvolvimento de quiosques interativos em shoppings centers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 Mês 34: Lançamento do aplicativo mobile com realidade aumentada para provas virtuais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FASE 3: Plataforma de Estilo de Vida (Meses 37-60)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Expansão Vertical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· Mês 38: Integração com serviços de beleza e cuidados pessoais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· Mês 42: Lançamento da plataforma de revenda e troca entre usuários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· Mês 48: Parceria com marcas de moda sustentável e consciente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Inteligência Artificial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· Mês 40: Implementação de IA generativa para criação de looks personalizados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· Mês 45: Sistema de recomendação preditiva baseado em clima e agenda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· Mês 52: Assistente virtual de estilo com reconhecimento de voz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FASE 4: Internacionalização e Inovação (Meses 61+)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Expansão Global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· Mês 62: Adaptação para mercado hispano-americano (México, Colômbia, Argentina)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· Mês 68: Entrada em mercados europeus selecionados (Portugal, Espanha)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· Mês 72: Expansão para América do Norte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Inovação Tecnológica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· Mês 65: Desenvolvimento de tecnologia vestível integrada à plataforma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· Mês 70: Implementação de blockchain para autenticação de peças de luxo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· Mês 75: Parceria com metaverso para roupas digitais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Indicadores de Performance por Fase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Fase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· Base de usuários: 500.000 ativos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· Marcas parceiras: 200+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· Taxa de conversão: 15%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Fase 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· Base de usuários: 2 milhões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· Receita marketplace: 40% do total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· Parcerias físicas: 50 lojas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· Base de usuários: 5 milhões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· Receita serviços premium: 25% do total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· Países atendidos: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Fase 4: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· Base de usuários: 15 milhões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· Receita internacional: 35% do total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· Valorização da empresa: US$ 1 bilhão+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Fatores Críticos de Sucesso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Manutenção da Qualidade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· Review rate acima de 30%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· Satisfação do usuário &gt; 4.5 estrelas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· Tempo de resposta do suporte &lt; 2 horas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Inovação Contínua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· 15% do orçamento dedicado a P&amp;D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· Lançamento de 2-3 novas funcionalidades por trimestre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· Atualização constante do algoritmo de recomendação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 Expansão Sustentável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· ROI positivo em novos mercados em 18 meses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· Taxa de churn inferior a 5% mensal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· Crescimento orgânico de 40% do total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Parcerias Estratégicas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· Acordos exclusivos com 5 marcas âncora por ano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· Expansão de 25% ao ano na rede de varejo físico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· Parcerias com 3 instituições de ensino de moda anualmente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Esta projeção detalhada permite um crescimento escalonado e sustentável, transformando a plataforma de uma startup para uma empresa de tecnologia consolidada no setor de moda e estilo de vida.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