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wmf" ContentType="image/x-wmf"/>
  <Override PartName="/word/header2.xml" ContentType="application/vnd.openxmlformats-officedocument.wordprocessingml.header+xml"/>
  <Override PartName="/word/header1.xml" ContentType="application/vnd.openxmlformats-officedocument.wordprocessingml.header+xml"/>
  <Override PartName="/word/document.xml" ContentType="application/vnd.openxmlformats-officedocument.wordprocessingml.document.main+xml"/>
  <Override PartName="/word/footnotes.xml" ContentType="application/vnd.openxmlformats-officedocument.wordprocessingml.footnotes+xml"/>
  <Override PartName="/word/fontTable.xml" ContentType="application/vnd.openxmlformats-officedocument.wordprocessingml.fontTable+xml"/>
  <Override PartName="/word/theme/theme1.xml" ContentType="application/vnd.openxmlformats-officedocument.theme+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ragraph"/>
        <w:spacing w:beforeAutospacing="0" w:before="0" w:afterAutospacing="0" w:after="0"/>
        <w:jc w:val="center"/>
        <w:textAlignment w:val="baseline"/>
        <w:rPr/>
      </w:pPr>
      <w:r>
        <w:rPr>
          <w:rStyle w:val="Normaltextrun"/>
          <w:b/>
          <w:bCs/>
          <w:lang w:val="lt-LT"/>
        </w:rPr>
        <w:t>KONKURSAS Į STEBĖSENOS IR ANALIZĖS SKYRIAUS VYRESN. ANALITIKO (-ĖS) PAREIGAS</w:t>
      </w:r>
    </w:p>
    <w:p>
      <w:pPr>
        <w:pStyle w:val="Paragraph"/>
        <w:spacing w:beforeAutospacing="0" w:before="0" w:afterAutospacing="0" w:after="0"/>
        <w:jc w:val="center"/>
        <w:textAlignment w:val="baseline"/>
        <w:rPr/>
      </w:pPr>
      <w:r>
        <w:rPr>
          <w:rStyle w:val="Normaltextrun"/>
          <w:b/>
          <w:bCs/>
          <w:lang w:val="lt-LT"/>
        </w:rPr>
        <w:t>I ETAPAS – RAŠYTINĖ NAMŲ DARBŲ UŽDUOTIS</w:t>
      </w:r>
      <w:r>
        <w:rPr>
          <w:rStyle w:val="Eop"/>
          <w:lang w:val="lt-LT"/>
        </w:rPr>
        <w:t> </w:t>
      </w:r>
    </w:p>
    <w:p>
      <w:pPr>
        <w:pStyle w:val="Tarybosstilius"/>
        <w:spacing w:before="0" w:after="120"/>
        <w:ind w:firstLine="567"/>
        <w:jc w:val="center"/>
        <w:rPr>
          <w:rFonts w:ascii="Times New Roman" w:hAnsi="Times New Roman" w:cs="Times New Roman"/>
          <w:sz w:val="16"/>
          <w:szCs w:val="16"/>
          <w:lang w:val="lt-LT"/>
        </w:rPr>
      </w:pPr>
      <w:r>
        <w:rPr>
          <w:rFonts w:cs="Times New Roman" w:ascii="Times New Roman" w:hAnsi="Times New Roman"/>
          <w:sz w:val="16"/>
          <w:szCs w:val="16"/>
          <w:lang w:val="lt-LT"/>
        </w:rPr>
      </w:r>
    </w:p>
    <w:p>
      <w:pPr>
        <w:pStyle w:val="Tarybosstilius"/>
        <w:spacing w:before="0" w:after="120"/>
        <w:jc w:val="both"/>
        <w:rPr/>
      </w:pPr>
      <w:r>
        <w:rPr>
          <w:rStyle w:val="Tarybosstiliusbold"/>
          <w:rFonts w:cs="Times New Roman" w:ascii="Times New Roman" w:hAnsi="Times New Roman"/>
          <w:lang w:val="lt-LT"/>
        </w:rPr>
        <w:t xml:space="preserve">1 UŽDUOTIS. </w:t>
      </w:r>
      <w:r>
        <w:rPr>
          <w:rFonts w:eastAsia="Times New Roman" w:cs="Times New Roman" w:ascii="Times New Roman" w:hAnsi="Times New Roman"/>
          <w:lang w:val="lt-LT"/>
        </w:rPr>
        <w:t xml:space="preserve">Lietuvos kultūros tarybai sprendžiant dėl būsimo stipendijų finansavimo pokyčių reikia sužinoti vykusių </w:t>
      </w:r>
      <w:r>
        <w:rPr>
          <w:rFonts w:eastAsia="Times New Roman" w:cs="Times New Roman" w:ascii="Times New Roman" w:hAnsi="Times New Roman"/>
          <w:b/>
          <w:bCs/>
          <w:lang w:val="lt-LT"/>
        </w:rPr>
        <w:t>edukacinių / mobilumo</w:t>
      </w:r>
      <w:r>
        <w:rPr>
          <w:rStyle w:val="FootnoteReference"/>
          <w:rFonts w:eastAsia="Times New Roman" w:cs="Times New Roman" w:ascii="Times New Roman" w:hAnsi="Times New Roman"/>
          <w:b/>
          <w:bCs/>
          <w:lang w:val="lt-LT"/>
        </w:rPr>
        <w:footnoteReference w:id="2"/>
      </w:r>
      <w:r>
        <w:rPr>
          <w:rFonts w:eastAsia="Times New Roman" w:cs="Times New Roman" w:ascii="Times New Roman" w:hAnsi="Times New Roman"/>
          <w:b/>
          <w:bCs/>
          <w:lang w:val="lt-LT"/>
        </w:rPr>
        <w:t xml:space="preserve"> stipendijų</w:t>
      </w:r>
      <w:r>
        <w:rPr>
          <w:rFonts w:eastAsia="Times New Roman" w:cs="Times New Roman" w:ascii="Times New Roman" w:hAnsi="Times New Roman"/>
          <w:lang w:val="lt-LT"/>
        </w:rPr>
        <w:t xml:space="preserve"> konkursų finansavimo tendencijas. (</w:t>
      </w:r>
      <w:r>
        <w:rPr>
          <w:rStyle w:val="Cf01"/>
          <w:rFonts w:cs="Times New Roman" w:ascii="Times New Roman" w:hAnsi="Times New Roman"/>
          <w:sz w:val="24"/>
          <w:szCs w:val="24"/>
          <w:lang w:val="lt-LT"/>
        </w:rPr>
        <w:t>Didžiausias galimas surinkti balų skaičius – 7)</w:t>
      </w:r>
      <w:r>
        <w:rPr>
          <w:rFonts w:eastAsia="Times New Roman" w:cs="Times New Roman" w:ascii="Times New Roman" w:hAnsi="Times New Roman"/>
          <w:lang w:val="lt-LT"/>
        </w:rPr>
        <w:t xml:space="preserve">.  </w:t>
      </w:r>
    </w:p>
    <w:p>
      <w:pPr>
        <w:pStyle w:val="Tarybosstilius"/>
        <w:numPr>
          <w:ilvl w:val="0"/>
          <w:numId w:val="1"/>
        </w:numPr>
        <w:tabs>
          <w:tab w:val="clear" w:pos="3640"/>
          <w:tab w:val="clear" w:pos="4373"/>
        </w:tabs>
        <w:spacing w:before="0" w:after="0"/>
        <w:jc w:val="both"/>
        <w:rPr>
          <w:lang w:val="lt-LT"/>
        </w:rPr>
      </w:pPr>
      <w:r>
        <w:rPr>
          <w:rFonts w:eastAsia="Times New Roman" w:cs="Times New Roman" w:ascii="Times New Roman" w:hAnsi="Times New Roman"/>
          <w:lang w:val="lt-LT"/>
        </w:rPr>
        <w:t xml:space="preserve">Remdamiesi pateiktais duomenimis (failas </w:t>
      </w:r>
      <w:r>
        <w:rPr>
          <w:rFonts w:eastAsia="Times New Roman" w:cs="Times New Roman" w:ascii="Times New Roman" w:hAnsi="Times New Roman"/>
          <w:i/>
          <w:iCs/>
          <w:lang w:val="lt-LT"/>
        </w:rPr>
        <w:t>DUOMENYS</w:t>
      </w:r>
      <w:r>
        <w:rPr>
          <w:rFonts w:eastAsia="Times New Roman" w:cs="Times New Roman" w:ascii="Times New Roman" w:hAnsi="Times New Roman"/>
          <w:lang w:val="lt-LT"/>
        </w:rPr>
        <w:t>) pristatykite trumpą (iki 1 psl. arba 250 žodžių) šio tipo stipendijų finansavimo apžvalgą, rezultatus pateikite apibendrinančioje lentelėje ir iliustruokite grafiškai (ne daugiau kaip 5 grafikai). Tarpinius veiksmus išsaugokite atskirame (-uose) excel lape (-uose).</w:t>
      </w:r>
    </w:p>
    <w:p>
      <w:pPr>
        <w:pStyle w:val="Tarybosstilius"/>
        <w:tabs>
          <w:tab w:val="clear" w:pos="3640"/>
          <w:tab w:val="clear" w:pos="4373"/>
        </w:tabs>
        <w:spacing w:before="0" w:after="0"/>
        <w:jc w:val="both"/>
        <w:rPr>
          <w:rFonts w:ascii="Times New Roman" w:hAnsi="Times New Roman" w:eastAsia="Times New Roman" w:cs="Times New Roman"/>
        </w:rPr>
      </w:pPr>
      <w:r>
        <w:rPr>
          <w:lang w:val="lt-LT"/>
        </w:rPr>
      </w:r>
    </w:p>
    <w:p>
      <w:pPr>
        <w:pStyle w:val="Tarybosstilius"/>
        <w:tabs>
          <w:tab w:val="clear" w:pos="3640"/>
          <w:tab w:val="clear" w:pos="4373"/>
        </w:tabs>
        <w:spacing w:before="0" w:after="0"/>
        <w:jc w:val="both"/>
        <w:rPr>
          <w:lang w:val="lt-LT"/>
        </w:rPr>
      </w:pPr>
      <w:r>
        <w:rPr>
          <w:rFonts w:eastAsia="Times New Roman" w:cs="Times New Roman" w:ascii="Times New Roman" w:hAnsi="Times New Roman"/>
          <w:lang w:val="lt-LT"/>
        </w:rPr>
        <w:tab/>
        <w:t xml:space="preserve">Nuoroda į atliktą analizę: </w:t>
      </w:r>
      <w:hyperlink r:id="rId2">
        <w:r>
          <w:rPr>
            <w:rStyle w:val="Hyperlink"/>
            <w:rFonts w:eastAsia="Times New Roman" w:cs="Times New Roman" w:ascii="Times New Roman" w:hAnsi="Times New Roman"/>
            <w:lang w:val="lt-LT"/>
          </w:rPr>
          <w:t>https://1drv.ms/x/s!Agi31EduJSaCgiBSeEglyv9F4xLT?e=oIaKUl</w:t>
        </w:r>
      </w:hyperlink>
    </w:p>
    <w:p>
      <w:pPr>
        <w:pStyle w:val="Tarybosstilius"/>
        <w:tabs>
          <w:tab w:val="clear" w:pos="3640"/>
          <w:tab w:val="clear" w:pos="4373"/>
        </w:tabs>
        <w:spacing w:before="0" w:after="0"/>
        <w:jc w:val="both"/>
        <w:rPr>
          <w:rFonts w:ascii="Times New Roman" w:hAnsi="Times New Roman" w:eastAsia="Times New Roman" w:cs="Times New Roman"/>
        </w:rPr>
      </w:pPr>
      <w:r>
        <w:rPr>
          <w:lang w:val="lt-LT"/>
        </w:rPr>
      </w:r>
    </w:p>
    <w:p>
      <w:pPr>
        <w:pStyle w:val="Tarybosstilius"/>
        <w:tabs>
          <w:tab w:val="clear" w:pos="3640"/>
          <w:tab w:val="clear" w:pos="4373"/>
        </w:tabs>
        <w:spacing w:before="0" w:after="0"/>
        <w:jc w:val="center"/>
        <w:rPr>
          <w:lang w:val="lt-LT"/>
        </w:rPr>
      </w:pPr>
      <w:r>
        <w:rPr>
          <w:lang w:val="lt-LT"/>
        </w:rPr>
        <w:drawing>
          <wp:inline distT="0" distB="0" distL="0" distR="0">
            <wp:extent cx="3888740" cy="198945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3888740" cy="1989455"/>
                    </a:xfrm>
                    <a:prstGeom prst="rect">
                      <a:avLst/>
                    </a:prstGeom>
                  </pic:spPr>
                </pic:pic>
              </a:graphicData>
            </a:graphic>
          </wp:inline>
        </w:drawing>
      </w:r>
    </w:p>
    <w:p>
      <w:pPr>
        <w:pStyle w:val="Tarybosstilius"/>
        <w:tabs>
          <w:tab w:val="clear" w:pos="3640"/>
          <w:tab w:val="clear" w:pos="4373"/>
        </w:tabs>
        <w:spacing w:before="0" w:after="0"/>
        <w:jc w:val="center"/>
        <w:rPr>
          <w:lang w:val="lt-LT"/>
        </w:rPr>
      </w:pPr>
      <w:r>
        <w:rPr>
          <w:rFonts w:eastAsia="Times New Roman" w:cs="Times New Roman" w:ascii="Times New Roman" w:hAnsi="Times New Roman"/>
          <w:lang w:val="lt-LT"/>
        </w:rPr>
        <w:drawing>
          <wp:inline distT="0" distB="0" distL="0" distR="0">
            <wp:extent cx="3888740" cy="201485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888740" cy="2014855"/>
                    </a:xfrm>
                    <a:prstGeom prst="rect">
                      <a:avLst/>
                    </a:prstGeom>
                  </pic:spPr>
                </pic:pic>
              </a:graphicData>
            </a:graphic>
          </wp:inline>
        </w:drawing>
      </w:r>
      <w:r>
        <w:rPr>
          <w:rFonts w:eastAsia="Times New Roman" w:cs="Times New Roman" w:ascii="Times New Roman" w:hAnsi="Times New Roman"/>
          <w:lang w:val="lt-LT"/>
        </w:rPr>
      </w:r>
    </w:p>
    <w:p>
      <w:pPr>
        <w:pStyle w:val="Tarybosstilius"/>
        <w:tabs>
          <w:tab w:val="clear" w:pos="3640"/>
          <w:tab w:val="clear" w:pos="4373"/>
        </w:tabs>
        <w:spacing w:before="0" w:after="0"/>
        <w:jc w:val="both"/>
        <w:rPr>
          <w:rFonts w:ascii="Times New Roman" w:hAnsi="Times New Roman" w:eastAsia="Times New Roman" w:cs="Times New Roman"/>
        </w:rPr>
      </w:pPr>
      <w:r>
        <w:rPr>
          <w:lang w:val="lt-LT"/>
        </w:rPr>
      </w:r>
    </w:p>
    <w:p>
      <w:pPr>
        <w:pStyle w:val="Tarybosstilius"/>
        <w:tabs>
          <w:tab w:val="clear" w:pos="3640"/>
          <w:tab w:val="clear" w:pos="4373"/>
        </w:tabs>
        <w:spacing w:before="0" w:after="0"/>
        <w:jc w:val="both"/>
        <w:rPr>
          <w:lang w:val="lt-LT"/>
        </w:rPr>
      </w:pPr>
      <w:r>
        <w:rPr>
          <w:rFonts w:eastAsia="Times New Roman" w:cs="Times New Roman" w:ascii="Times New Roman" w:hAnsi="Times New Roman"/>
          <w:lang w:val="lt-LT"/>
        </w:rPr>
        <w:tab/>
        <w:t>Bendras stipendijų finansavimas nuosekliai, bet lėtai auga per 10 metų nuo 1 mil. iki 2 mil. Eurų. Matosi ženklus stipendijų finansavimo padidėjimas per COVID-19 pandemiją, tačiau jis nelieka jai pasibaigus ir 2021 metais finansavimas beveik grįžta į pradinę padėtį. 2023 ir 2024 metais matomas stipendijų rūšių įvairovės padidėjims su ženklią paramą ne tik individualioms stipendijoms, bet ir mobilumo bei pradedančiųjų stipendijoms. Per visą laikotarpį daugiausiai finansuojama stipendijos rūšis yra individualios stipendijos.</w:t>
      </w:r>
    </w:p>
    <w:p>
      <w:pPr>
        <w:pStyle w:val="Tarybosstilius"/>
        <w:tabs>
          <w:tab w:val="clear" w:pos="3640"/>
          <w:tab w:val="clear" w:pos="4373"/>
        </w:tabs>
        <w:spacing w:before="0" w:after="0"/>
        <w:jc w:val="both"/>
        <w:rPr>
          <w:lang w:val="lt-LT"/>
        </w:rPr>
      </w:pPr>
      <w:r>
        <w:rPr>
          <w:rFonts w:eastAsia="Times New Roman" w:cs="Times New Roman" w:ascii="Times New Roman" w:hAnsi="Times New Roman"/>
          <w:lang w:val="lt-LT"/>
        </w:rPr>
        <w:tab/>
        <w:t>Nuo 2014 metų stipendijų paraiškų padidėjo maždaug du kartus, tačiau finansuotų stipendijų skaičius lieka maždaug toks pat. Todėl atitinkamai nuosekliai mažėja dalis finansuojamų paraiškų – iki 2020 metų kartais virš 50% paraiškų buvo finansuoti, tuo metu kai 2024 metais ši dalis yra apie 30%. Matosi ženkliai didesnis skaičius paraiškų 2020-ais ir 2021-ais metais, kas greičiausiai siejasi su COVID-19 pandemija.</w:t>
      </w:r>
    </w:p>
    <w:p>
      <w:pPr>
        <w:pStyle w:val="Tarybosstilius"/>
        <w:tabs>
          <w:tab w:val="clear" w:pos="3640"/>
          <w:tab w:val="clear" w:pos="4373"/>
        </w:tabs>
        <w:spacing w:before="0" w:after="0"/>
        <w:jc w:val="both"/>
        <w:rPr>
          <w:rFonts w:ascii="Times New Roman" w:hAnsi="Times New Roman" w:eastAsia="Times New Roman" w:cs="Times New Roman"/>
        </w:rPr>
      </w:pPr>
      <w:r>
        <w:rPr>
          <w:lang w:val="lt-LT"/>
        </w:rPr>
      </w:r>
    </w:p>
    <w:p>
      <w:pPr>
        <w:pStyle w:val="Tarybosstilius"/>
        <w:tabs>
          <w:tab w:val="clear" w:pos="3640"/>
          <w:tab w:val="clear" w:pos="4373"/>
        </w:tabs>
        <w:spacing w:before="0" w:after="0"/>
        <w:jc w:val="center"/>
        <w:rPr>
          <w:lang w:val="lt-LT"/>
        </w:rPr>
      </w:pPr>
      <w:r>
        <w:rPr>
          <w:lang w:val="lt-LT"/>
        </w:rPr>
        <w:drawing>
          <wp:inline distT="0" distB="0" distL="0" distR="0">
            <wp:extent cx="3823970" cy="224726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3823970" cy="2247265"/>
                    </a:xfrm>
                    <a:prstGeom prst="rect">
                      <a:avLst/>
                    </a:prstGeom>
                  </pic:spPr>
                </pic:pic>
              </a:graphicData>
            </a:graphic>
          </wp:inline>
        </w:drawing>
      </w:r>
      <w:r>
        <w:rPr>
          <w:lang w:val="lt-LT"/>
        </w:rPr>
        <w:t xml:space="preserve"> </w:t>
      </w:r>
      <w:r>
        <w:rPr>
          <w:lang w:val="lt-LT"/>
        </w:rPr>
        <w:drawing>
          <wp:inline distT="0" distB="0" distL="0" distR="0">
            <wp:extent cx="2268220" cy="155003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268220" cy="1550035"/>
                    </a:xfrm>
                    <a:prstGeom prst="rect">
                      <a:avLst/>
                    </a:prstGeom>
                  </pic:spPr>
                </pic:pic>
              </a:graphicData>
            </a:graphic>
          </wp:inline>
        </w:drawing>
      </w:r>
    </w:p>
    <w:p>
      <w:pPr>
        <w:pStyle w:val="Tarybosstilius"/>
        <w:tabs>
          <w:tab w:val="clear" w:pos="3640"/>
          <w:tab w:val="clear" w:pos="4373"/>
        </w:tabs>
        <w:spacing w:before="0" w:after="0"/>
        <w:jc w:val="both"/>
        <w:rPr>
          <w:rFonts w:ascii="Times New Roman" w:hAnsi="Times New Roman" w:eastAsia="Times New Roman" w:cs="Times New Roman"/>
        </w:rPr>
      </w:pPr>
      <w:r>
        <w:rPr>
          <w:lang w:val="lt-LT"/>
        </w:rPr>
      </w:r>
    </w:p>
    <w:p>
      <w:pPr>
        <w:pStyle w:val="Tarybosstilius"/>
        <w:tabs>
          <w:tab w:val="clear" w:pos="3640"/>
          <w:tab w:val="clear" w:pos="4373"/>
        </w:tabs>
        <w:spacing w:before="0" w:after="0"/>
        <w:jc w:val="both"/>
        <w:rPr>
          <w:lang w:val="lt-LT"/>
        </w:rPr>
      </w:pPr>
      <w:r>
        <w:rPr>
          <w:rFonts w:eastAsia="Times New Roman" w:cs="Times New Roman" w:ascii="Times New Roman" w:hAnsi="Times New Roman"/>
          <w:lang w:val="lt-LT"/>
        </w:rPr>
        <w:tab/>
        <w:t>Daugiausia finansuotų paraiškų yra iš Muzikos ir Dailės srities, tačiau keli iš mažiau populiarių sričių turi gerokai didesnę dalį finansuotų paraiškų. Teatro, Etninės kultūros ir tautodailės, Šokio, Cirko ir Architektūros srityje maždaug 40% ar daugiau paraiškų buvo finansuota, tuo metu kai kitose srityse ši dalis yra 30% ar mažiau.</w:t>
      </w:r>
    </w:p>
    <w:p>
      <w:pPr>
        <w:pStyle w:val="Tarybosstilius"/>
        <w:tabs>
          <w:tab w:val="clear" w:pos="3640"/>
          <w:tab w:val="clear" w:pos="4373"/>
        </w:tabs>
        <w:spacing w:before="0" w:after="0"/>
        <w:jc w:val="both"/>
        <w:rPr>
          <w:lang w:val="lt-LT"/>
        </w:rPr>
      </w:pPr>
      <w:r>
        <w:rPr>
          <w:rFonts w:eastAsia="Times New Roman" w:cs="Times New Roman" w:ascii="Times New Roman" w:hAnsi="Times New Roman"/>
          <w:lang w:val="lt-LT"/>
        </w:rPr>
        <w:tab/>
        <w:t>Tarp paraiškų stipendijoms bendrai yra ženkliai daugiau moterų nei vyrų, atitinkamai dažniausiai stipendijas gauna moterys. Tačiau vyrų tarpe dalis finansuojamų paraiškų iš visų pateiktų paraiškų yra truputi mažesnė. Šis dėsningumas gali rodyti šališkumus paraiškų vertinimo procese, tačiau yra labai mažas (3% punktų) ir gali būti sukeltas kitais faktoriais – reikalinga išsamesnė analizė.</w:t>
      </w:r>
    </w:p>
    <w:p>
      <w:pPr>
        <w:pStyle w:val="Tarybosstilius"/>
        <w:tabs>
          <w:tab w:val="clear" w:pos="3640"/>
          <w:tab w:val="clear" w:pos="4373"/>
        </w:tabs>
        <w:spacing w:before="0" w:after="0"/>
        <w:jc w:val="both"/>
        <w:rPr>
          <w:rFonts w:ascii="Times New Roman" w:hAnsi="Times New Roman" w:eastAsia="Times New Roman" w:cs="Times New Roman"/>
        </w:rPr>
      </w:pPr>
      <w:r>
        <w:rPr>
          <w:lang w:val="lt-LT"/>
        </w:rPr>
      </w:r>
    </w:p>
    <w:p>
      <w:pPr>
        <w:pStyle w:val="Tarybosstilius"/>
        <w:tabs>
          <w:tab w:val="clear" w:pos="3640"/>
          <w:tab w:val="clear" w:pos="4373"/>
        </w:tabs>
        <w:spacing w:before="0" w:after="0"/>
        <w:jc w:val="both"/>
        <w:rPr>
          <w:lang w:val="lt-LT"/>
        </w:rPr>
      </w:pPr>
      <w:r>
        <w:drawing>
          <wp:anchor behindDoc="0" distT="0" distB="0" distL="0" distR="179705" simplePos="0" locked="0" layoutInCell="0" allowOverlap="1" relativeHeight="10">
            <wp:simplePos x="0" y="0"/>
            <wp:positionH relativeFrom="column">
              <wp:posOffset>11430</wp:posOffset>
            </wp:positionH>
            <wp:positionV relativeFrom="paragraph">
              <wp:posOffset>635</wp:posOffset>
            </wp:positionV>
            <wp:extent cx="3416300" cy="2492375"/>
            <wp:effectExtent l="0" t="0" r="0" b="0"/>
            <wp:wrapSquare wrapText="righ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416300" cy="2492375"/>
                    </a:xfrm>
                    <a:prstGeom prst="rect">
                      <a:avLst/>
                    </a:prstGeom>
                  </pic:spPr>
                </pic:pic>
              </a:graphicData>
            </a:graphic>
          </wp:anchor>
        </w:drawing>
      </w:r>
      <w:r>
        <w:rPr>
          <w:rFonts w:eastAsia="Times New Roman" w:cs="Times New Roman" w:ascii="Times New Roman" w:hAnsi="Times New Roman"/>
          <w:lang w:val="lt-LT"/>
        </w:rPr>
        <w:tab/>
        <w:tab/>
        <w:t>Absoliuti dauguma finansavimo yra skiriama Vilniaus miesto savivaldybėje – pavyzdžiui beveik 2/3 viso finansavimo 2024 metams. Yra labai didelis atotrūkis tarp Vilniaus ir kitų savivaldybių Lietuvoje. 2 ir 4 vietoje yra Kauno ir Klaipėdos miesto savivaldybės, o 3 vietoje yra finansavimas veikloms užsienyje. Tačiau visose iš šių vietovių finansavimas yra bent 6 kartus mažesnis, nei Vilniuje.</w:t>
      </w:r>
      <w:r>
        <w:br w:type="page"/>
      </w:r>
    </w:p>
    <w:p>
      <w:pPr>
        <w:pStyle w:val="Tarybosstilius"/>
        <w:numPr>
          <w:ilvl w:val="0"/>
          <w:numId w:val="1"/>
        </w:numPr>
        <w:tabs>
          <w:tab w:val="clear" w:pos="3640"/>
          <w:tab w:val="clear" w:pos="4373"/>
        </w:tabs>
        <w:spacing w:before="0" w:after="0"/>
        <w:jc w:val="both"/>
        <w:rPr>
          <w:lang w:val="lt-LT"/>
        </w:rPr>
      </w:pPr>
      <w:r>
        <w:rPr>
          <w:rFonts w:eastAsia="Times New Roman" w:cs="Times New Roman" w:ascii="Times New Roman" w:hAnsi="Times New Roman"/>
          <w:color w:val="000000"/>
          <w:lang w:val="lt-LT"/>
        </w:rPr>
        <w:t xml:space="preserve">Kokias pagrindines problemas, susijusias </w:t>
      </w:r>
      <w:r>
        <w:rPr>
          <w:rFonts w:eastAsia="Times New Roman" w:cs="Times New Roman" w:ascii="Times New Roman" w:hAnsi="Times New Roman"/>
          <w:b/>
          <w:bCs/>
          <w:lang w:val="lt-LT"/>
        </w:rPr>
        <w:t>su edukacinių / mobilumo stipendijų finansavimu</w:t>
      </w:r>
      <w:r>
        <w:rPr>
          <w:rFonts w:eastAsia="Times New Roman" w:cs="Times New Roman" w:ascii="Times New Roman" w:hAnsi="Times New Roman"/>
          <w:color w:val="000000"/>
          <w:lang w:val="lt-LT"/>
        </w:rPr>
        <w:t>, iš pateiktų duomenų ir atliktos analizės identifikuojate?</w:t>
      </w:r>
    </w:p>
    <w:p>
      <w:pPr>
        <w:pStyle w:val="Tarybosstilius"/>
        <w:numPr>
          <w:ilvl w:val="1"/>
          <w:numId w:val="1"/>
        </w:numPr>
        <w:tabs>
          <w:tab w:val="clear" w:pos="3640"/>
          <w:tab w:val="clear" w:pos="4373"/>
        </w:tabs>
        <w:spacing w:before="0" w:after="0"/>
        <w:jc w:val="both"/>
        <w:rPr/>
      </w:pPr>
      <w:r>
        <w:rPr>
          <w:rFonts w:eastAsia="Times New Roman" w:cs="Times New Roman" w:ascii="Times New Roman" w:hAnsi="Times New Roman"/>
          <w:b w:val="false"/>
          <w:bCs w:val="false"/>
          <w:color w:val="000000"/>
          <w:lang w:val="lt-LT"/>
        </w:rPr>
        <w:t>Mažėja dalis paraiškų, kuriems yra skiriamas finansavimas. Prieš 10 metų apie pusė paraiškų gaudavo finansavimą, tuo metu kai dabar finansavimą gauna tik trečdalis.</w:t>
      </w:r>
    </w:p>
    <w:p>
      <w:pPr>
        <w:pStyle w:val="Tarybosstilius"/>
        <w:numPr>
          <w:ilvl w:val="1"/>
          <w:numId w:val="1"/>
        </w:numPr>
        <w:tabs>
          <w:tab w:val="clear" w:pos="3640"/>
          <w:tab w:val="clear" w:pos="4373"/>
        </w:tabs>
        <w:spacing w:before="0" w:after="0"/>
        <w:jc w:val="both"/>
        <w:rPr>
          <w:b w:val="false"/>
          <w:bCs w:val="false"/>
          <w:lang w:val="lt-LT"/>
        </w:rPr>
      </w:pPr>
      <w:r>
        <w:rPr>
          <w:rFonts w:eastAsia="Times New Roman" w:cs="Times New Roman" w:ascii="Times New Roman" w:hAnsi="Times New Roman"/>
          <w:b w:val="false"/>
          <w:bCs w:val="false"/>
          <w:color w:val="000000"/>
          <w:lang w:val="lt-LT"/>
        </w:rPr>
        <w:t>Yra labai didelis atotrūkis tarp Vilniaus ir visų kitų savivaldybių – Vilniuje skiriamas mažiausiai 6 kartus didesnis finansavimas, palyginus su bet kokia kita savivaldybe ir užsieniu bendrai.</w:t>
      </w:r>
    </w:p>
    <w:p>
      <w:pPr>
        <w:pStyle w:val="Tarybosstilius"/>
        <w:numPr>
          <w:ilvl w:val="1"/>
          <w:numId w:val="1"/>
        </w:numPr>
        <w:tabs>
          <w:tab w:val="clear" w:pos="3640"/>
          <w:tab w:val="clear" w:pos="4373"/>
        </w:tabs>
        <w:spacing w:before="0" w:after="0"/>
        <w:jc w:val="both"/>
        <w:rPr>
          <w:lang w:val="lt-LT"/>
        </w:rPr>
      </w:pPr>
      <w:r>
        <w:rPr>
          <w:rFonts w:eastAsia="Times New Roman" w:cs="Times New Roman" w:ascii="Times New Roman" w:hAnsi="Times New Roman"/>
          <w:b w:val="false"/>
          <w:bCs w:val="false"/>
          <w:color w:val="000000"/>
          <w:lang w:val="lt-LT"/>
        </w:rPr>
        <w:t>Nepaisant to, kad stipendijų finansavimas nuo 2014 metų padidėjo nuo 1 mil. eurų iki apytiksliai 2 mil. eurų, lėšų nepakanka, kad finansuoti daugiau stipendijų absoliučiais skaičiais.</w:t>
      </w:r>
    </w:p>
    <w:p>
      <w:pPr>
        <w:pStyle w:val="Tarybosstilius"/>
        <w:numPr>
          <w:ilvl w:val="1"/>
          <w:numId w:val="1"/>
        </w:numPr>
        <w:tabs>
          <w:tab w:val="clear" w:pos="3640"/>
          <w:tab w:val="clear" w:pos="4373"/>
        </w:tabs>
        <w:spacing w:before="0" w:after="0"/>
        <w:jc w:val="both"/>
        <w:rPr>
          <w:lang w:val="lt-LT"/>
        </w:rPr>
      </w:pPr>
      <w:r>
        <w:rPr>
          <w:rFonts w:eastAsia="Times New Roman" w:cs="Times New Roman" w:ascii="Times New Roman" w:hAnsi="Times New Roman"/>
          <w:b w:val="false"/>
          <w:bCs w:val="false"/>
          <w:color w:val="000000"/>
          <w:lang w:val="lt-LT"/>
        </w:rPr>
        <w:t>A</w:t>
      </w:r>
      <w:r>
        <w:rPr>
          <w:rFonts w:eastAsia="Times New Roman" w:cs="Times New Roman" w:ascii="Times New Roman" w:hAnsi="Times New Roman"/>
          <w:b w:val="false"/>
          <w:bCs w:val="false"/>
          <w:color w:val="000000"/>
          <w:lang w:val="lt-LT"/>
        </w:rPr>
        <w:t>bsoliuti dauguma stipendijų yra individualios, tuo metu mobilumo stipendijos sudaro visai mažą dalį – tik 24,7% finansuotų stipendijų 2024 metams.</w:t>
      </w:r>
    </w:p>
    <w:p>
      <w:pPr>
        <w:pStyle w:val="Tarybosstilius"/>
        <w:numPr>
          <w:ilvl w:val="0"/>
          <w:numId w:val="1"/>
        </w:numPr>
        <w:tabs>
          <w:tab w:val="clear" w:pos="3640"/>
          <w:tab w:val="clear" w:pos="4373"/>
        </w:tabs>
        <w:spacing w:before="0" w:after="0"/>
        <w:jc w:val="both"/>
        <w:rPr>
          <w:lang w:val="lt-LT"/>
        </w:rPr>
      </w:pPr>
      <w:r>
        <w:rPr>
          <w:rFonts w:eastAsia="Times New Roman" w:cs="Times New Roman" w:ascii="Times New Roman" w:hAnsi="Times New Roman"/>
          <w:color w:val="000000"/>
          <w:lang w:val="lt-LT"/>
        </w:rPr>
        <w:t xml:space="preserve">LKT Stebėsenos ir analizės skyrius planuoja įgyvendinti </w:t>
      </w:r>
      <w:r>
        <w:rPr>
          <w:rFonts w:eastAsia="Times New Roman" w:cs="Times New Roman" w:ascii="Times New Roman" w:hAnsi="Times New Roman"/>
          <w:lang w:val="lt-LT"/>
        </w:rPr>
        <w:t xml:space="preserve">tyrimą apie </w:t>
      </w:r>
      <w:r>
        <w:rPr>
          <w:rFonts w:eastAsia="Times New Roman" w:cs="Times New Roman" w:ascii="Times New Roman" w:hAnsi="Times New Roman"/>
          <w:b/>
          <w:bCs/>
          <w:lang w:val="lt-LT"/>
        </w:rPr>
        <w:t>edukacinių / mobilumo stipendijų poveikį menininkui ir visuomenei</w:t>
      </w:r>
      <w:r>
        <w:rPr>
          <w:rFonts w:eastAsia="Times New Roman" w:cs="Times New Roman" w:ascii="Times New Roman" w:hAnsi="Times New Roman"/>
          <w:color w:val="000000"/>
          <w:lang w:val="lt-LT"/>
        </w:rPr>
        <w:t>. Remdamiesi pateiktais duomenimis bei atlikta analize, nurodykite 3–5 aspektus ar potemes, kurias siūlytumėte įtraukti į tyrimą. Savo siūlymą argumentuokite.</w:t>
      </w:r>
    </w:p>
    <w:p>
      <w:pPr>
        <w:pStyle w:val="Tarybosstilius"/>
        <w:numPr>
          <w:ilvl w:val="1"/>
          <w:numId w:val="1"/>
        </w:numPr>
        <w:tabs>
          <w:tab w:val="clear" w:pos="3640"/>
          <w:tab w:val="clear" w:pos="4373"/>
        </w:tabs>
        <w:spacing w:before="0" w:after="0"/>
        <w:jc w:val="both"/>
        <w:rPr>
          <w:lang w:val="lt-LT"/>
        </w:rPr>
      </w:pPr>
      <w:r>
        <w:rPr>
          <w:rFonts w:eastAsia="Times New Roman" w:cs="Times New Roman" w:ascii="Times New Roman" w:hAnsi="Times New Roman"/>
          <w:color w:val="000000"/>
          <w:lang w:val="lt-LT"/>
        </w:rPr>
        <w:t>Pagal turimus edukacinių / mobilumo stipendijų duomenys mobilumo stipendijos sudaro labai mažą dalį visų stipendijų. Kodėl menininkai:ės ir kultūros srities veikėjai nesirinko šios stipendijų rūšies? Manau pokalbiai su tikslinė šios stipendijos auditoriją apie motyvaciją rinktis/nesirinkti mobilumo stipendijų gali padėti suprasti, koks yra tokių stipendijų vaidmuo ir poveikis. Taip pat rezultatai padėtų suprasti, kokiu būdu galima skatinti daugiau žmonių rinktis šias stipendijas.</w:t>
      </w:r>
    </w:p>
    <w:p>
      <w:pPr>
        <w:pStyle w:val="Tarybosstilius"/>
        <w:numPr>
          <w:ilvl w:val="1"/>
          <w:numId w:val="1"/>
        </w:numPr>
        <w:tabs>
          <w:tab w:val="clear" w:pos="3640"/>
          <w:tab w:val="clear" w:pos="4373"/>
        </w:tabs>
        <w:spacing w:before="0" w:after="0"/>
        <w:jc w:val="both"/>
        <w:rPr>
          <w:lang w:val="lt-LT"/>
        </w:rPr>
      </w:pPr>
      <w:r>
        <w:rPr>
          <w:rFonts w:eastAsia="Times New Roman" w:cs="Times New Roman" w:ascii="Times New Roman" w:hAnsi="Times New Roman"/>
          <w:color w:val="000000"/>
          <w:lang w:val="lt-LT"/>
        </w:rPr>
        <w:t>Duomenys rodo, kad absoliuti dauguma stipendijų finansavimo bei paraiškų atitinka Vilniaus miestui. Ar tai todėl, kad kitur Lietuvoje yra mažiau menininkų:i/kultūros veikėjų ar dėl to, kad jie neaplikuoja į šį konkursą? Manau būtų svarbu suprasti, kame yra šio atotrūkio esmė ir ką tai sako apie Lietuvos kultūros ir meno lauką. Yra pavojus, kad kūrėjai regionuose yra mažiau linkę gauti šių stipendijų finansavimą – todėl yra labai svarbu suprasti, kokiu būdu galima juos labiau įgalinti.</w:t>
      </w:r>
    </w:p>
    <w:p>
      <w:pPr>
        <w:pStyle w:val="Tarybosstilius"/>
        <w:numPr>
          <w:ilvl w:val="1"/>
          <w:numId w:val="1"/>
        </w:numPr>
        <w:tabs>
          <w:tab w:val="clear" w:pos="3640"/>
          <w:tab w:val="clear" w:pos="4373"/>
        </w:tabs>
        <w:spacing w:before="0" w:after="0"/>
        <w:jc w:val="both"/>
        <w:rPr>
          <w:lang w:val="lt-LT"/>
        </w:rPr>
      </w:pPr>
      <w:r>
        <w:rPr>
          <w:rFonts w:eastAsia="Times New Roman" w:cs="Times New Roman" w:ascii="Times New Roman" w:hAnsi="Times New Roman"/>
          <w:color w:val="000000"/>
          <w:lang w:val="lt-LT"/>
        </w:rPr>
        <w:t>Stipendijų finansavimo duomenys rodo ženkliai didesnį finansavimą COVID-19 pasekoje kas yra labai įdomus ir išskirtinis įvykis, smarkiai išsiskiriantis iš bendrų tendencijų ir konteksto. Manau būtų prasminga pažiūrėti, koks yra šio padidinto finansavimo poveikis – ką pavyko padaryti ir ar yra kokybinis skirtumas su kitais metais, ne tik kiekybinis skirtumas finansavimo maste.</w:t>
      </w:r>
    </w:p>
    <w:p>
      <w:pPr>
        <w:pStyle w:val="Tarybosstilius"/>
        <w:tabs>
          <w:tab w:val="clear" w:pos="3640"/>
          <w:tab w:val="clear" w:pos="4373"/>
        </w:tabs>
        <w:spacing w:before="0" w:after="0"/>
        <w:jc w:val="both"/>
        <w:rPr>
          <w:lang w:val="lt-LT"/>
        </w:rPr>
      </w:pPr>
      <w:r>
        <w:rPr>
          <w:lang w:val="lt-LT"/>
        </w:rPr>
      </w:r>
    </w:p>
    <w:p>
      <w:pPr>
        <w:pStyle w:val="Tarybosstilius"/>
        <w:tabs>
          <w:tab w:val="clear" w:pos="3640"/>
          <w:tab w:val="clear" w:pos="4373"/>
        </w:tabs>
        <w:spacing w:before="0" w:after="0"/>
        <w:jc w:val="both"/>
        <w:rPr/>
      </w:pPr>
      <w:r>
        <w:rPr>
          <w:rStyle w:val="Tarybosstiliusbold"/>
          <w:rFonts w:cs="Times New Roman" w:ascii="Times New Roman" w:hAnsi="Times New Roman"/>
          <w:lang w:val="lt-LT"/>
        </w:rPr>
        <w:t xml:space="preserve">2 UŽDUOTIS. </w:t>
      </w:r>
      <w:r>
        <w:rPr>
          <w:rFonts w:cs="Times New Roman" w:ascii="Times New Roman" w:hAnsi="Times New Roman"/>
          <w:lang w:val="lt-LT"/>
        </w:rPr>
        <w:t xml:space="preserve">Lietuvos Kultūros taryba kuria naujus kultūros ir meno rodiklius stebėti ir suprasti visuomenėje vykstančius procesus. Remiantis gyventojų dalyvavimo kultūroje apklausos duomenimis siekta sukurti atitinkamą rodiklį naujajai kultūros statistikos duomenų bazei. Šio rodiklio tikslas – stebėti, kokia gyventojų dalis lankėsi literatūriniuose skaitymuose, knygų pristatymuose, dainuojamosios poezijos ar bardų koncerte </w:t>
      </w:r>
      <w:r>
        <w:rPr>
          <w:rFonts w:eastAsia="Times New Roman" w:cs="Times New Roman" w:ascii="Times New Roman" w:hAnsi="Times New Roman"/>
          <w:lang w:val="lt-LT"/>
        </w:rPr>
        <w:t>(</w:t>
      </w:r>
      <w:r>
        <w:rPr>
          <w:rStyle w:val="Cf01"/>
          <w:rFonts w:cs="Times New Roman" w:ascii="Times New Roman" w:hAnsi="Times New Roman"/>
          <w:sz w:val="24"/>
          <w:szCs w:val="24"/>
          <w:lang w:val="lt-LT"/>
        </w:rPr>
        <w:t>Didžiausias galimas surinkti balų skaičius – 3)</w:t>
      </w:r>
      <w:r>
        <w:rPr>
          <w:rFonts w:cs="Times New Roman" w:ascii="Times New Roman" w:hAnsi="Times New Roman"/>
          <w:lang w:val="lt-LT"/>
        </w:rPr>
        <w:t>.</w:t>
      </w:r>
    </w:p>
    <w:p>
      <w:pPr>
        <w:pStyle w:val="Tarybosstilius"/>
        <w:numPr>
          <w:ilvl w:val="0"/>
          <w:numId w:val="3"/>
        </w:numPr>
        <w:tabs>
          <w:tab w:val="clear" w:pos="3640"/>
          <w:tab w:val="clear" w:pos="4373"/>
        </w:tabs>
        <w:spacing w:before="0" w:after="0"/>
        <w:jc w:val="both"/>
        <w:rPr>
          <w:lang w:val="lt-LT"/>
        </w:rPr>
      </w:pPr>
      <w:r>
        <w:rPr>
          <w:rFonts w:cs="Times New Roman" w:ascii="Times New Roman" w:hAnsi="Times New Roman"/>
          <w:lang w:val="lt-LT"/>
        </w:rPr>
        <w:t xml:space="preserve">Naudodamiesi pateiktu apklausos duomenų failu </w:t>
      </w:r>
      <w:r>
        <w:rPr>
          <w:rFonts w:cs="Times New Roman" w:ascii="Times New Roman" w:hAnsi="Times New Roman"/>
          <w:i/>
          <w:iCs/>
          <w:lang w:val="lt-LT"/>
        </w:rPr>
        <w:t>Kultura_w_datamap.xlsx</w:t>
      </w:r>
      <w:r>
        <w:rPr>
          <w:rFonts w:cs="Times New Roman" w:ascii="Times New Roman" w:hAnsi="Times New Roman"/>
          <w:lang w:val="lt-LT"/>
        </w:rPr>
        <w:t xml:space="preserve">, apskaičiuokite, </w:t>
      </w:r>
      <w:r>
        <w:rPr>
          <w:rFonts w:cs="Times New Roman" w:ascii="Times New Roman" w:hAnsi="Times New Roman"/>
          <w:b/>
          <w:bCs/>
          <w:lang w:val="lt-LT"/>
        </w:rPr>
        <w:t>kokia respondentų dalis nuo visų respondentų</w:t>
      </w:r>
      <w:r>
        <w:rPr>
          <w:rFonts w:cs="Times New Roman" w:ascii="Times New Roman" w:hAnsi="Times New Roman"/>
          <w:lang w:val="lt-LT"/>
        </w:rPr>
        <w:t xml:space="preserve"> lankėsi literatūriniuose skaitymuose, knygų pristatymuose, dainuojamosios poezijos ar bardų koncerte </w:t>
      </w:r>
      <w:r>
        <w:rPr>
          <w:rFonts w:cs="Times New Roman" w:ascii="Times New Roman" w:hAnsi="Times New Roman"/>
          <w:b/>
          <w:bCs/>
          <w:lang w:val="lt-LT"/>
        </w:rPr>
        <w:t>kiekvienoje apskrityje</w:t>
      </w:r>
      <w:r>
        <w:rPr>
          <w:rFonts w:cs="Times New Roman" w:ascii="Times New Roman" w:hAnsi="Times New Roman"/>
          <w:lang w:val="lt-LT"/>
        </w:rPr>
        <w:t xml:space="preserve"> </w:t>
      </w:r>
      <w:r>
        <w:rPr>
          <w:rFonts w:cs="Times New Roman" w:ascii="Times New Roman" w:hAnsi="Times New Roman"/>
          <w:b/>
          <w:bCs/>
          <w:lang w:val="lt-LT"/>
        </w:rPr>
        <w:t>(įskaitant apskričių centrus)</w:t>
      </w:r>
      <w:r>
        <w:rPr>
          <w:rFonts w:cs="Times New Roman" w:ascii="Times New Roman" w:hAnsi="Times New Roman"/>
          <w:lang w:val="lt-LT"/>
        </w:rPr>
        <w:t>, jeigu:</w:t>
      </w:r>
    </w:p>
    <w:p>
      <w:pPr>
        <w:pStyle w:val="Tarybosstilius"/>
        <w:numPr>
          <w:ilvl w:val="0"/>
          <w:numId w:val="2"/>
        </w:numPr>
        <w:spacing w:before="0" w:after="0"/>
        <w:ind w:hanging="284" w:left="851"/>
        <w:jc w:val="both"/>
        <w:rPr>
          <w:lang w:val="lt-LT"/>
        </w:rPr>
      </w:pPr>
      <w:r>
        <w:rPr>
          <w:rFonts w:cs="Times New Roman" w:ascii="Times New Roman" w:hAnsi="Times New Roman"/>
          <w:lang w:val="lt-LT"/>
        </w:rPr>
        <w:t>S6_2 – klausimas, ar asmuo lankėsi literatūriniuose skaitymuose, knygų pristatymuose, dainuojamosios poezijos ar bardų koncerte;</w:t>
      </w:r>
    </w:p>
    <w:p>
      <w:pPr>
        <w:pStyle w:val="Tarybosstilius"/>
        <w:numPr>
          <w:ilvl w:val="0"/>
          <w:numId w:val="2"/>
        </w:numPr>
        <w:spacing w:before="0" w:after="0"/>
        <w:ind w:hanging="284" w:left="851"/>
        <w:jc w:val="both"/>
        <w:rPr>
          <w:lang w:val="lt-LT"/>
        </w:rPr>
      </w:pPr>
      <w:r>
        <w:rPr>
          <w:rFonts w:cs="Times New Roman" w:ascii="Times New Roman" w:hAnsi="Times New Roman"/>
          <w:lang w:val="lt-LT"/>
        </w:rPr>
        <w:t>W – kiekvienam respondentui suteiktas svoris;</w:t>
      </w:r>
    </w:p>
    <w:p>
      <w:pPr>
        <w:pStyle w:val="Tarybosstilius"/>
        <w:numPr>
          <w:ilvl w:val="0"/>
          <w:numId w:val="2"/>
        </w:numPr>
        <w:spacing w:before="0" w:after="0"/>
        <w:ind w:hanging="284" w:left="851"/>
        <w:jc w:val="both"/>
        <w:rPr>
          <w:lang w:val="lt-LT"/>
        </w:rPr>
      </w:pPr>
      <w:r>
        <w:rPr>
          <w:rFonts w:cs="Times New Roman" w:ascii="Times New Roman" w:hAnsi="Times New Roman"/>
          <w:lang w:val="lt-LT"/>
        </w:rPr>
        <w:t xml:space="preserve">X4 – respondento apskritis. </w:t>
      </w:r>
    </w:p>
    <w:p>
      <w:pPr>
        <w:pStyle w:val="Tarybosstilius"/>
        <w:numPr>
          <w:ilvl w:val="0"/>
          <w:numId w:val="2"/>
        </w:numPr>
        <w:spacing w:before="0" w:after="0"/>
        <w:ind w:hanging="284" w:left="851"/>
        <w:jc w:val="both"/>
        <w:rPr>
          <w:lang w:val="lt-LT"/>
        </w:rPr>
      </w:pPr>
      <w:r>
        <w:rPr>
          <w:rFonts w:cs="Times New Roman" w:ascii="Times New Roman" w:hAnsi="Times New Roman"/>
          <w:lang w:val="lt-LT"/>
        </w:rPr>
        <w:t>Bendrai, visų apsilankiusių literatūriniuose skaitymuose, knygų pristatymuose, dainuojamosios poezijos ar bardų koncerte dalis yra 13,98 %.</w:t>
      </w:r>
    </w:p>
    <w:p>
      <w:pPr>
        <w:pStyle w:val="Tarybosstilius"/>
        <w:spacing w:before="0" w:after="120"/>
        <w:ind w:firstLine="851"/>
        <w:jc w:val="both"/>
        <w:rPr>
          <w:lang w:val="lt-LT"/>
        </w:rPr>
      </w:pPr>
      <w:r>
        <w:rPr>
          <w:rFonts w:cs="Times New Roman" w:ascii="Times New Roman" w:hAnsi="Times New Roman"/>
          <w:lang w:val="lt-LT"/>
        </w:rPr>
        <w:t>Rezultatus pateikite</w:t>
      </w:r>
      <w:r>
        <w:rPr>
          <w:rFonts w:cs="Times New Roman" w:ascii="Times New Roman" w:hAnsi="Times New Roman"/>
          <w:i/>
          <w:iCs/>
          <w:lang w:val="lt-LT"/>
        </w:rPr>
        <w:t xml:space="preserve"> Pivot Table</w:t>
      </w:r>
      <w:r>
        <w:rPr>
          <w:rFonts w:cs="Times New Roman" w:ascii="Times New Roman" w:hAnsi="Times New Roman"/>
          <w:lang w:val="lt-LT"/>
        </w:rPr>
        <w:t xml:space="preserve"> arba Jūsų naudojamos programavimo kalbos kodo sukurtos lentelės ekrano nuotrauką.</w:t>
      </w:r>
    </w:p>
    <w:p>
      <w:pPr>
        <w:pStyle w:val="Tarybosstilius"/>
        <w:spacing w:before="0" w:after="0"/>
        <w:jc w:val="both"/>
        <w:rPr>
          <w:lang w:val="lt-LT"/>
        </w:rPr>
      </w:pPr>
      <w:r>
        <w:rPr>
          <w:rFonts w:cs="Times New Roman" w:ascii="Times New Roman" w:hAnsi="Times New Roman"/>
          <w:i/>
          <w:iCs/>
          <w:lang w:val="lt-LT"/>
        </w:rPr>
        <w:t>Duomenys jau pilnai sutvarkyti ir paruošti skaičiavimams, anketos klausimų reikšmės nurodytos lape „Questions“, o klausimų variantų reikšmės – „Options“ lapuose.</w:t>
      </w:r>
    </w:p>
    <w:p>
      <w:pPr>
        <w:pStyle w:val="Tarybosstilius"/>
        <w:spacing w:before="0" w:after="0"/>
        <w:jc w:val="both"/>
        <w:rPr>
          <w:lang w:val="lt-LT"/>
        </w:rPr>
      </w:pPr>
      <w:r>
        <w:rPr>
          <w:rFonts w:cs="Times New Roman" w:ascii="Times New Roman" w:hAnsi="Times New Roman"/>
          <w:i/>
          <w:iCs/>
          <w:lang w:val="lt-LT"/>
        </w:rPr>
        <w:t>Gyventojų dalis gali būti apskaičiuojama susumavus visų dalyvavusių respondentų svorius (W)</w:t>
      </w:r>
      <w:r>
        <w:rPr>
          <w:rFonts w:cs="Times New Roman" w:ascii="Times New Roman" w:hAnsi="Times New Roman"/>
          <w:lang w:val="lt-LT"/>
        </w:rPr>
        <w:t xml:space="preserve"> ir padalinus juos iš visų respondentų svorio sumos</w:t>
      </w:r>
      <w:r>
        <w:rPr>
          <w:rStyle w:val="FootnoteReference"/>
          <w:rFonts w:cs="Times New Roman" w:ascii="Times New Roman" w:hAnsi="Times New Roman"/>
          <w:lang w:val="lt-LT"/>
        </w:rPr>
        <w:footnoteReference w:id="3"/>
      </w:r>
      <w:r>
        <w:rPr>
          <w:rFonts w:cs="Times New Roman" w:ascii="Times New Roman" w:hAnsi="Times New Roman"/>
          <w:lang w:val="lt-LT"/>
        </w:rPr>
        <w:t xml:space="preserve">. </w:t>
      </w:r>
    </w:p>
    <w:p>
      <w:pPr>
        <w:pStyle w:val="Tarybosstilius"/>
        <w:spacing w:before="0" w:after="0"/>
        <w:jc w:val="both"/>
        <w:rPr>
          <w:rFonts w:ascii="Times New Roman" w:hAnsi="Times New Roman" w:cs="Times New Roman"/>
        </w:rPr>
      </w:pPr>
      <w:r>
        <w:rPr>
          <w:lang w:val="lt-LT"/>
        </w:rPr>
      </w:r>
    </w:p>
    <w:p>
      <w:pPr>
        <w:pStyle w:val="Tarybosstilius"/>
        <w:spacing w:before="0" w:after="0"/>
        <w:jc w:val="both"/>
        <w:rPr>
          <w:lang w:val="lt-LT"/>
        </w:rPr>
      </w:pPr>
      <w:r>
        <w:rPr>
          <w:rFonts w:cs="Times New Roman" w:ascii="Times New Roman" w:hAnsi="Times New Roman"/>
          <w:lang w:val="lt-LT"/>
        </w:rPr>
        <w:t xml:space="preserve">Nusprendžiau padaryti užduotį su R. Kodą ir skaičiavimui reikalingus failus galima rasti GitHub platformoje: </w:t>
      </w:r>
    </w:p>
    <w:p>
      <w:pPr>
        <w:pStyle w:val="Tarybosstilius"/>
        <w:spacing w:before="0" w:after="0"/>
        <w:jc w:val="both"/>
        <w:rPr>
          <w:rFonts w:ascii="Times New Roman" w:hAnsi="Times New Roman" w:cs="Times New Roman"/>
        </w:rPr>
      </w:pPr>
      <w:r>
        <w:rPr>
          <w:lang w:val="lt-LT"/>
        </w:rPr>
      </w:r>
    </w:p>
    <w:tbl>
      <w:tblPr>
        <w:tblW w:w="5000" w:type="pct"/>
        <w:jc w:val="left"/>
        <w:tblInd w:w="0" w:type="dxa"/>
        <w:tblLayout w:type="fixed"/>
        <w:tblCellMar>
          <w:top w:w="55" w:type="dxa"/>
          <w:left w:w="55" w:type="dxa"/>
          <w:bottom w:w="55" w:type="dxa"/>
          <w:right w:w="55" w:type="dxa"/>
        </w:tblCellMar>
      </w:tblPr>
      <w:tblGrid>
        <w:gridCol w:w="6463"/>
        <w:gridCol w:w="3743"/>
      </w:tblGrid>
      <w:tr>
        <w:trPr/>
        <w:tc>
          <w:tcPr>
            <w:tcW w:w="6463" w:type="dxa"/>
            <w:tcBorders/>
          </w:tcPr>
          <w:p>
            <w:pPr>
              <w:pStyle w:val="TableContents"/>
              <w:rPr>
                <w:rFonts w:ascii="Times New Roman" w:hAnsi="Times New Roman"/>
                <w:b/>
                <w:bCs/>
                <w:lang w:val="lt-LT"/>
              </w:rPr>
            </w:pPr>
            <w:r>
              <w:rPr>
                <w:rFonts w:ascii="Times New Roman" w:hAnsi="Times New Roman"/>
                <w:b/>
                <w:bCs/>
                <w:lang w:val="lt-LT"/>
              </w:rPr>
              <w:t>Kodas</w:t>
            </w:r>
          </w:p>
        </w:tc>
        <w:tc>
          <w:tcPr>
            <w:tcW w:w="3743" w:type="dxa"/>
            <w:tcBorders/>
          </w:tcPr>
          <w:p>
            <w:pPr>
              <w:pStyle w:val="TableContents"/>
              <w:rPr>
                <w:rFonts w:ascii="Times New Roman" w:hAnsi="Times New Roman"/>
                <w:b/>
                <w:bCs/>
                <w:lang w:val="lt-LT"/>
              </w:rPr>
            </w:pPr>
            <w:r>
              <w:rPr>
                <w:rFonts w:ascii="Times New Roman" w:hAnsi="Times New Roman"/>
                <w:b/>
                <w:bCs/>
                <w:lang w:val="lt-LT"/>
              </w:rPr>
              <w:t>Rezultatas</w:t>
            </w:r>
          </w:p>
        </w:tc>
      </w:tr>
      <w:tr>
        <w:trPr/>
        <w:tc>
          <w:tcPr>
            <w:tcW w:w="6463" w:type="dxa"/>
            <w:tcBorders/>
          </w:tcPr>
          <w:p>
            <w:pPr>
              <w:pStyle w:val="TableContents"/>
              <w:rPr>
                <w:rFonts w:ascii="Times New Roman" w:hAnsi="Times New Roman"/>
                <w:lang w:val="lt-LT"/>
              </w:rPr>
            </w:pPr>
            <w:r>
              <w:rPr>
                <w:rFonts w:ascii="Times New Roman" w:hAnsi="Times New Roman"/>
                <w:lang w:val="lt-LT"/>
              </w:rPr>
              <w:drawing>
                <wp:inline distT="0" distB="0" distL="0" distR="0">
                  <wp:extent cx="4009390" cy="25806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009390" cy="2580640"/>
                          </a:xfrm>
                          <a:prstGeom prst="rect">
                            <a:avLst/>
                          </a:prstGeom>
                        </pic:spPr>
                      </pic:pic>
                    </a:graphicData>
                  </a:graphic>
                </wp:inline>
              </w:drawing>
            </w:r>
          </w:p>
        </w:tc>
        <w:tc>
          <w:tcPr>
            <w:tcW w:w="3743" w:type="dxa"/>
            <w:tcBorders/>
          </w:tcPr>
          <w:p>
            <w:pPr>
              <w:pStyle w:val="TableContents"/>
              <w:rPr>
                <w:rFonts w:ascii="Times New Roman" w:hAnsi="Times New Roman"/>
                <w:lang w:val="lt-LT"/>
              </w:rPr>
            </w:pPr>
            <w:r>
              <w:rPr>
                <w:rFonts w:ascii="Times New Roman" w:hAnsi="Times New Roman"/>
                <w:lang w:val="lt-L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306955" cy="19119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2306955" cy="1911985"/>
                          </a:xfrm>
                          <a:prstGeom prst="rect">
                            <a:avLst/>
                          </a:prstGeom>
                        </pic:spPr>
                      </pic:pic>
                    </a:graphicData>
                  </a:graphic>
                </wp:anchor>
              </w:drawing>
            </w:r>
          </w:p>
        </w:tc>
      </w:tr>
    </w:tbl>
    <w:p>
      <w:pPr>
        <w:pStyle w:val="Tarybosstilius"/>
        <w:spacing w:before="0" w:after="0"/>
        <w:jc w:val="both"/>
        <w:rPr>
          <w:rFonts w:ascii="Times New Roman" w:hAnsi="Times New Roman" w:cs="Times New Roman"/>
        </w:rPr>
      </w:pPr>
      <w:r>
        <w:rPr>
          <w:lang w:val="lt-LT"/>
        </w:rPr>
      </w:r>
    </w:p>
    <w:p>
      <w:pPr>
        <w:pStyle w:val="Tarybosstilius"/>
        <w:spacing w:before="0" w:after="0"/>
        <w:jc w:val="both"/>
        <w:rPr>
          <w:rFonts w:ascii="Times New Roman" w:hAnsi="Times New Roman" w:cs="Times New Roman"/>
        </w:rPr>
      </w:pPr>
      <w:r>
        <w:rPr>
          <w:lang w:val="lt-LT"/>
        </w:rPr>
      </w:r>
    </w:p>
    <w:p>
      <w:pPr>
        <w:pStyle w:val="Tarybosstilius"/>
        <w:spacing w:before="0" w:after="0"/>
        <w:jc w:val="both"/>
        <w:rPr>
          <w:rFonts w:ascii="Times New Roman" w:hAnsi="Times New Roman" w:cs="Times New Roman"/>
        </w:rPr>
      </w:pPr>
      <w:r>
        <w:rPr>
          <w:lang w:val="lt-LT"/>
        </w:rPr>
      </w:r>
    </w:p>
    <w:sectPr>
      <w:headerReference w:type="even" r:id="rId10"/>
      <w:headerReference w:type="default" r:id="rId11"/>
      <w:headerReference w:type="first" r:id="rId12"/>
      <w:footnotePr>
        <w:numFmt w:val="decimal"/>
      </w:footnotePr>
      <w:type w:val="nextPage"/>
      <w:pgSz w:w="12240" w:h="15840"/>
      <w:pgMar w:left="1276" w:right="758" w:gutter="0" w:header="432" w:top="489" w:footer="0" w:bottom="709"/>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ucida Grande">
    <w:charset w:val="01"/>
    <w:family w:val="roman"/>
    <w:pitch w:val="default"/>
  </w:font>
  <w:font w:name="Georgia">
    <w:charset w:val="01"/>
    <w:family w:val="roman"/>
    <w:pitch w:val="default"/>
  </w:font>
  <w:font w:name="Segoe UI">
    <w:charset w:val="01"/>
    <w:family w:val="roman"/>
    <w:pitch w:val="default"/>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default"/>
  </w:font>
  <w:font w:name="Times New Roman">
    <w:charset w:val="01"/>
    <w:family w:val="roman"/>
    <w:pitch w:val="variable"/>
  </w:font>
  <w:font w:name="Symbol">
    <w:charset w:val="01"/>
    <w:family w:val="auto"/>
    <w:pitch w:val="variable"/>
  </w:font>
  <w:font w:name="Courier New">
    <w:charset w:val="01"/>
    <w:family w:val="modern"/>
    <w:pitch w:val="fixed"/>
  </w:font>
  <w:font w:name="Wingding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rPr>
          <w:lang w:val="lt-LT"/>
        </w:rPr>
      </w:pPr>
      <w:r>
        <w:rPr>
          <w:rStyle w:val="FootnoteCharacters"/>
        </w:rPr>
        <w:footnoteRef/>
      </w:r>
      <w:r>
        <w:rPr>
          <w:lang w:val="lt-LT"/>
        </w:rPr>
        <w:t xml:space="preserve"> </w:t>
      </w:r>
      <w:r>
        <w:rPr>
          <w:rFonts w:cs="Times New Roman" w:ascii="Times New Roman" w:hAnsi="Times New Roman"/>
          <w:lang w:val="lt-LT"/>
        </w:rPr>
        <w:t>2014</w:t>
      </w:r>
      <w:r>
        <w:rPr>
          <w:rFonts w:eastAsia="Times New Roman" w:cs="Times New Roman" w:ascii="Times New Roman" w:hAnsi="Times New Roman"/>
          <w:color w:val="000000"/>
          <w:lang w:val="lt-LT"/>
        </w:rPr>
        <w:t>–</w:t>
      </w:r>
      <w:r>
        <w:rPr>
          <w:rFonts w:cs="Times New Roman" w:ascii="Times New Roman" w:hAnsi="Times New Roman"/>
          <w:lang w:val="lt-LT"/>
        </w:rPr>
        <w:t>2022 m. edukacinės stipendijos kultūros ir meno kūrėjams, nuo 2023 m. šios stipendijos pavadintos mobilumo stipendijomis kultūros ir meno kūrėjams.</w:t>
      </w:r>
    </w:p>
  </w:footnote>
  <w:footnote w:id="3">
    <w:p>
      <w:pPr>
        <w:pStyle w:val="FootnoteText"/>
        <w:rPr>
          <w:rFonts w:ascii="Times New Roman" w:hAnsi="Times New Roman" w:cs="Times New Roman"/>
          <w:lang w:val="lt-LT"/>
        </w:rPr>
      </w:pPr>
      <w:r>
        <w:rPr>
          <w:rStyle w:val="FootnoteCharacters"/>
        </w:rPr>
        <w:footnoteRef/>
      </w:r>
      <w:r>
        <w:rPr>
          <w:rFonts w:cs="Times New Roman" w:ascii="Times New Roman" w:hAnsi="Times New Roman"/>
          <w:lang w:val="lt-LT"/>
        </w:rPr>
        <w:t xml:space="preserve"> </w:t>
      </w:r>
      <w:r>
        <w:rPr>
          <w:rFonts w:cs="Times New Roman" w:ascii="Times New Roman" w:hAnsi="Times New Roman"/>
          <w:lang w:val="lt-LT"/>
        </w:rPr>
        <w:t xml:space="preserve">Siekiant, kad imtis kuo geriau atspindėtų Lietuvos gyventojų populiacijos išsidėstymą pagal lytį, amžiaus grupes ir kt., respondentams buvo pritaikyti svoriai. Daugiau: </w:t>
      </w:r>
      <w:hyperlink r:id="rId1">
        <w:r>
          <w:rPr>
            <w:rStyle w:val="Hyperlink"/>
            <w:rFonts w:cs="Times New Roman" w:ascii="Times New Roman" w:hAnsi="Times New Roman"/>
            <w:lang w:val="lt-LT"/>
          </w:rPr>
          <w:t>https://www.sciencedirect.com/topics/mathematics/poststratification</w:t>
        </w:r>
      </w:hyperlink>
      <w:r>
        <w:rPr>
          <w:rFonts w:cs="Times New Roman" w:ascii="Times New Roman" w:hAnsi="Times New Roman"/>
          <w:lang w:val="lt-LT"/>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spacing w:before="0" w:after="240"/>
      <w:jc w:val="center"/>
      <w:rPr>
        <w:rFonts w:ascii="Georgia" w:hAnsi="Georgia" w:cs="Times New Roman"/>
        <w:color w:val="020202"/>
        <w:sz w:val="16"/>
        <w:szCs w:val="16"/>
        <w:lang w:val="lt-LT"/>
      </w:rPr>
    </w:pPr>
    <w:r>
      <w:rPr/>
      <w:drawing>
        <wp:inline distT="0" distB="0" distL="0" distR="0">
          <wp:extent cx="2074545" cy="1041400"/>
          <wp:effectExtent l="0" t="0" r="0" b="0"/>
          <wp:docPr id="8" name="Picture 563922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63922596" descr=""/>
                  <pic:cNvPicPr>
                    <a:picLocks noChangeAspect="1" noChangeArrowheads="1"/>
                  </pic:cNvPicPr>
                </pic:nvPicPr>
                <pic:blipFill>
                  <a:blip r:embed="rId1"/>
                  <a:stretch>
                    <a:fillRect/>
                  </a:stretch>
                </pic:blipFill>
                <pic:spPr bwMode="auto">
                  <a:xfrm>
                    <a:off x="0" y="0"/>
                    <a:ext cx="2074545" cy="1041400"/>
                  </a:xfrm>
                  <a:prstGeom prst="rect">
                    <a:avLst/>
                  </a:prstGeom>
                </pic:spPr>
              </pic:pic>
            </a:graphicData>
          </a:graphic>
        </wp:inline>
      </w:drawing>
    </w:r>
  </w:p>
  <w:p>
    <w:pPr>
      <w:pStyle w:val="Normal"/>
      <w:widowControl w:val="false"/>
      <w:spacing w:before="0" w:after="240"/>
      <w:jc w:val="center"/>
      <w:rPr>
        <w:rFonts w:ascii="Georgia" w:hAnsi="Georgia" w:cs="Times"/>
        <w:sz w:val="16"/>
        <w:szCs w:val="16"/>
        <w:lang w:val="lt-LT"/>
      </w:rPr>
    </w:pPr>
    <w:r>
      <w:rPr>
        <w:rFonts w:cs="Georgia" w:ascii="Georgia" w:hAnsi="Georgia"/>
        <w:color w:val="020202"/>
        <w:sz w:val="16"/>
        <w:szCs w:val="16"/>
        <w:lang w:val="lt-LT"/>
      </w:rPr>
      <w:t>Biudžetine</w:t>
    </w:r>
    <w:r>
      <w:rPr>
        <w:rFonts w:cs="Times New Roman" w:ascii="Times New Roman" w:hAnsi="Times New Roman"/>
        <w:color w:val="020202"/>
        <w:sz w:val="16"/>
        <w:szCs w:val="16"/>
        <w:lang w:val="lt-LT"/>
      </w:rPr>
      <w:t>̇</w:t>
    </w:r>
    <w:r>
      <w:rPr>
        <w:rFonts w:cs="Georgia" w:ascii="Georgia" w:hAnsi="Georgia"/>
        <w:color w:val="020202"/>
        <w:sz w:val="16"/>
        <w:szCs w:val="16"/>
        <w:lang w:val="lt-LT"/>
      </w:rPr>
      <w:t xml:space="preserve"> į</w:t>
    </w:r>
    <w:r>
      <w:rPr>
        <w:rFonts w:cs="Times New Roman" w:ascii="Times New Roman" w:hAnsi="Times New Roman"/>
        <w:color w:val="020202"/>
        <w:sz w:val="16"/>
        <w:szCs w:val="16"/>
        <w:lang w:val="lt-LT"/>
      </w:rPr>
      <w:t>s</w:t>
    </w:r>
    <w:r>
      <w:rPr>
        <w:rFonts w:cs="Georgia" w:ascii="Georgia" w:hAnsi="Georgia"/>
        <w:color w:val="020202"/>
        <w:sz w:val="16"/>
        <w:szCs w:val="16"/>
        <w:lang w:val="lt-LT"/>
      </w:rPr>
      <w:t>taiga Lietuvos kultū</w:t>
    </w:r>
    <w:r>
      <w:rPr>
        <w:rFonts w:cs="Times New Roman" w:ascii="Times New Roman" w:hAnsi="Times New Roman"/>
        <w:color w:val="020202"/>
        <w:sz w:val="16"/>
        <w:szCs w:val="16"/>
        <w:lang w:val="lt-LT"/>
      </w:rPr>
      <w:t>r</w:t>
    </w:r>
    <w:r>
      <w:rPr>
        <w:rFonts w:cs="Georgia" w:ascii="Georgia" w:hAnsi="Georgia"/>
        <w:color w:val="020202"/>
        <w:sz w:val="16"/>
        <w:szCs w:val="16"/>
        <w:lang w:val="lt-LT"/>
      </w:rPr>
      <w:t>os taryba, Naugarduko g. 10, 01309 Vilnius, tel. (8 5) 255 9357, el. paštas: info@ltkt.lt Duomenys kaupiami ir saugomi Juridiniu</w:t>
    </w:r>
    <w:r>
      <w:rPr>
        <w:rFonts w:cs="Times New Roman" w:ascii="Times New Roman" w:hAnsi="Times New Roman"/>
        <w:color w:val="020202"/>
        <w:sz w:val="16"/>
        <w:szCs w:val="16"/>
        <w:lang w:val="lt-LT"/>
      </w:rPr>
      <w:t>̨</w:t>
    </w:r>
    <w:r>
      <w:rPr>
        <w:rFonts w:cs="Georgia" w:ascii="Georgia" w:hAnsi="Georgia"/>
        <w:color w:val="020202"/>
        <w:sz w:val="16"/>
        <w:szCs w:val="16"/>
        <w:lang w:val="lt-LT"/>
      </w:rPr>
      <w:t xml:space="preserve"> asmenų</w:t>
    </w:r>
    <w:r>
      <w:rPr>
        <w:rFonts w:cs="Times New Roman" w:ascii="Times New Roman" w:hAnsi="Times New Roman"/>
        <w:color w:val="020202"/>
        <w:sz w:val="16"/>
        <w:szCs w:val="16"/>
        <w:lang w:val="lt-LT"/>
      </w:rPr>
      <w:t>̨</w:t>
    </w:r>
    <w:r>
      <w:rPr>
        <w:rFonts w:cs="Georgia" w:ascii="Georgia" w:hAnsi="Georgia"/>
        <w:color w:val="020202"/>
        <w:sz w:val="16"/>
        <w:szCs w:val="16"/>
        <w:lang w:val="lt-LT"/>
      </w:rPr>
      <w:t xml:space="preserve"> registre, kodas 302951857</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val="false"/>
      <w:spacing w:before="0" w:after="240"/>
      <w:jc w:val="center"/>
      <w:rPr>
        <w:rFonts w:ascii="Georgia" w:hAnsi="Georgia" w:cs="Times New Roman"/>
        <w:color w:val="020202"/>
        <w:sz w:val="16"/>
        <w:szCs w:val="16"/>
        <w:lang w:val="lt-LT"/>
      </w:rPr>
    </w:pPr>
    <w:r>
      <w:rPr/>
      <w:drawing>
        <wp:inline distT="0" distB="0" distL="0" distR="0">
          <wp:extent cx="2074545" cy="1041400"/>
          <wp:effectExtent l="0" t="0" r="0" b="0"/>
          <wp:docPr id="9" name="Picture 563922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63922596" descr=""/>
                  <pic:cNvPicPr>
                    <a:picLocks noChangeAspect="1" noChangeArrowheads="1"/>
                  </pic:cNvPicPr>
                </pic:nvPicPr>
                <pic:blipFill>
                  <a:blip r:embed="rId1"/>
                  <a:stretch>
                    <a:fillRect/>
                  </a:stretch>
                </pic:blipFill>
                <pic:spPr bwMode="auto">
                  <a:xfrm>
                    <a:off x="0" y="0"/>
                    <a:ext cx="2074545" cy="1041400"/>
                  </a:xfrm>
                  <a:prstGeom prst="rect">
                    <a:avLst/>
                  </a:prstGeom>
                </pic:spPr>
              </pic:pic>
            </a:graphicData>
          </a:graphic>
        </wp:inline>
      </w:drawing>
    </w:r>
  </w:p>
  <w:p>
    <w:pPr>
      <w:pStyle w:val="Normal"/>
      <w:widowControl w:val="false"/>
      <w:spacing w:before="0" w:after="240"/>
      <w:jc w:val="center"/>
      <w:rPr>
        <w:rFonts w:ascii="Georgia" w:hAnsi="Georgia" w:cs="Times"/>
        <w:sz w:val="16"/>
        <w:szCs w:val="16"/>
        <w:lang w:val="lt-LT"/>
      </w:rPr>
    </w:pPr>
    <w:r>
      <w:rPr>
        <w:rFonts w:cs="Georgia" w:ascii="Georgia" w:hAnsi="Georgia"/>
        <w:color w:val="020202"/>
        <w:sz w:val="16"/>
        <w:szCs w:val="16"/>
        <w:lang w:val="lt-LT"/>
      </w:rPr>
      <w:t>Biudžetine</w:t>
    </w:r>
    <w:r>
      <w:rPr>
        <w:rFonts w:cs="Times New Roman" w:ascii="Times New Roman" w:hAnsi="Times New Roman"/>
        <w:color w:val="020202"/>
        <w:sz w:val="16"/>
        <w:szCs w:val="16"/>
        <w:lang w:val="lt-LT"/>
      </w:rPr>
      <w:t>̇</w:t>
    </w:r>
    <w:r>
      <w:rPr>
        <w:rFonts w:cs="Georgia" w:ascii="Georgia" w:hAnsi="Georgia"/>
        <w:color w:val="020202"/>
        <w:sz w:val="16"/>
        <w:szCs w:val="16"/>
        <w:lang w:val="lt-LT"/>
      </w:rPr>
      <w:t xml:space="preserve"> į</w:t>
    </w:r>
    <w:r>
      <w:rPr>
        <w:rFonts w:cs="Times New Roman" w:ascii="Times New Roman" w:hAnsi="Times New Roman"/>
        <w:color w:val="020202"/>
        <w:sz w:val="16"/>
        <w:szCs w:val="16"/>
        <w:lang w:val="lt-LT"/>
      </w:rPr>
      <w:t>s</w:t>
    </w:r>
    <w:r>
      <w:rPr>
        <w:rFonts w:cs="Georgia" w:ascii="Georgia" w:hAnsi="Georgia"/>
        <w:color w:val="020202"/>
        <w:sz w:val="16"/>
        <w:szCs w:val="16"/>
        <w:lang w:val="lt-LT"/>
      </w:rPr>
      <w:t>taiga Lietuvos kultū</w:t>
    </w:r>
    <w:r>
      <w:rPr>
        <w:rFonts w:cs="Times New Roman" w:ascii="Times New Roman" w:hAnsi="Times New Roman"/>
        <w:color w:val="020202"/>
        <w:sz w:val="16"/>
        <w:szCs w:val="16"/>
        <w:lang w:val="lt-LT"/>
      </w:rPr>
      <w:t>r</w:t>
    </w:r>
    <w:r>
      <w:rPr>
        <w:rFonts w:cs="Georgia" w:ascii="Georgia" w:hAnsi="Georgia"/>
        <w:color w:val="020202"/>
        <w:sz w:val="16"/>
        <w:szCs w:val="16"/>
        <w:lang w:val="lt-LT"/>
      </w:rPr>
      <w:t>os taryba, Naugarduko g. 10, 01309 Vilnius, tel. (8 5) 255 9357, el. paštas: info@ltkt.lt Duomenys kaupiami ir saugomi Juridiniu</w:t>
    </w:r>
    <w:r>
      <w:rPr>
        <w:rFonts w:cs="Times New Roman" w:ascii="Times New Roman" w:hAnsi="Times New Roman"/>
        <w:color w:val="020202"/>
        <w:sz w:val="16"/>
        <w:szCs w:val="16"/>
        <w:lang w:val="lt-LT"/>
      </w:rPr>
      <w:t>̨</w:t>
    </w:r>
    <w:r>
      <w:rPr>
        <w:rFonts w:cs="Georgia" w:ascii="Georgia" w:hAnsi="Georgia"/>
        <w:color w:val="020202"/>
        <w:sz w:val="16"/>
        <w:szCs w:val="16"/>
        <w:lang w:val="lt-LT"/>
      </w:rPr>
      <w:t xml:space="preserve"> asmenų</w:t>
    </w:r>
    <w:r>
      <w:rPr>
        <w:rFonts w:cs="Times New Roman" w:ascii="Times New Roman" w:hAnsi="Times New Roman"/>
        <w:color w:val="020202"/>
        <w:sz w:val="16"/>
        <w:szCs w:val="16"/>
        <w:lang w:val="lt-LT"/>
      </w:rPr>
      <w:t>̨</w:t>
    </w:r>
    <w:r>
      <w:rPr>
        <w:rFonts w:cs="Georgia" w:ascii="Georgia" w:hAnsi="Georgia"/>
        <w:color w:val="020202"/>
        <w:sz w:val="16"/>
        <w:szCs w:val="16"/>
        <w:lang w:val="lt-LT"/>
      </w:rPr>
      <w:t xml:space="preserve"> registre, kodas 302951857</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927" w:hanging="360"/>
      </w:pPr>
      <w:rPr/>
    </w:lvl>
    <w:lvl w:ilvl="1">
      <w:start w:val="1"/>
      <w:numFmt w:val="lowerLetter"/>
      <w:lvlText w:val="%2."/>
      <w:lvlJc w:val="left"/>
      <w:pPr>
        <w:tabs>
          <w:tab w:val="num" w:pos="0"/>
        </w:tabs>
        <w:ind w:left="1647" w:hanging="360"/>
      </w:pPr>
      <w:rPr/>
    </w:lvl>
    <w:lvl w:ilvl="2">
      <w:start w:val="1"/>
      <w:numFmt w:val="lowerRoman"/>
      <w:lvlText w:val="%3."/>
      <w:lvlJc w:val="right"/>
      <w:pPr>
        <w:tabs>
          <w:tab w:val="num" w:pos="0"/>
        </w:tabs>
        <w:ind w:left="2367" w:hanging="180"/>
      </w:pPr>
      <w:rPr/>
    </w:lvl>
    <w:lvl w:ilvl="3">
      <w:start w:val="1"/>
      <w:numFmt w:val="decimal"/>
      <w:lvlText w:val="%4."/>
      <w:lvlJc w:val="left"/>
      <w:pPr>
        <w:tabs>
          <w:tab w:val="num" w:pos="0"/>
        </w:tabs>
        <w:ind w:left="3087" w:hanging="360"/>
      </w:pPr>
      <w:rPr/>
    </w:lvl>
    <w:lvl w:ilvl="4">
      <w:start w:val="1"/>
      <w:numFmt w:val="lowerLetter"/>
      <w:lvlText w:val="%5."/>
      <w:lvlJc w:val="left"/>
      <w:pPr>
        <w:tabs>
          <w:tab w:val="num" w:pos="0"/>
        </w:tabs>
        <w:ind w:left="3807" w:hanging="360"/>
      </w:pPr>
      <w:rPr/>
    </w:lvl>
    <w:lvl w:ilvl="5">
      <w:start w:val="1"/>
      <w:numFmt w:val="lowerRoman"/>
      <w:lvlText w:val="%6."/>
      <w:lvlJc w:val="right"/>
      <w:pPr>
        <w:tabs>
          <w:tab w:val="num" w:pos="0"/>
        </w:tabs>
        <w:ind w:left="4527" w:hanging="180"/>
      </w:pPr>
      <w:rPr/>
    </w:lvl>
    <w:lvl w:ilvl="6">
      <w:start w:val="1"/>
      <w:numFmt w:val="decimal"/>
      <w:lvlText w:val="%7."/>
      <w:lvlJc w:val="left"/>
      <w:pPr>
        <w:tabs>
          <w:tab w:val="num" w:pos="0"/>
        </w:tabs>
        <w:ind w:left="5247" w:hanging="360"/>
      </w:pPr>
      <w:rPr/>
    </w:lvl>
    <w:lvl w:ilvl="7">
      <w:start w:val="1"/>
      <w:numFmt w:val="lowerLetter"/>
      <w:lvlText w:val="%8."/>
      <w:lvlJc w:val="left"/>
      <w:pPr>
        <w:tabs>
          <w:tab w:val="num" w:pos="0"/>
        </w:tabs>
        <w:ind w:left="5967" w:hanging="360"/>
      </w:pPr>
      <w:rPr/>
    </w:lvl>
    <w:lvl w:ilvl="8">
      <w:start w:val="1"/>
      <w:numFmt w:val="lowerRoman"/>
      <w:lvlText w:val="%9."/>
      <w:lvlJc w:val="right"/>
      <w:pPr>
        <w:tabs>
          <w:tab w:val="num" w:pos="0"/>
        </w:tabs>
        <w:ind w:left="6687"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7a4e15"/>
    <w:rPr>
      <w:rFonts w:ascii="Lucida Grande" w:hAnsi="Lucida Grande" w:cs="Lucida Grande"/>
      <w:sz w:val="18"/>
      <w:szCs w:val="18"/>
    </w:rPr>
  </w:style>
  <w:style w:type="character" w:styleId="HeaderChar" w:customStyle="1">
    <w:name w:val="Header Char"/>
    <w:basedOn w:val="DefaultParagraphFont"/>
    <w:link w:val="Header"/>
    <w:uiPriority w:val="99"/>
    <w:qFormat/>
    <w:rsid w:val="00cf7fac"/>
    <w:rPr/>
  </w:style>
  <w:style w:type="character" w:styleId="FooterChar" w:customStyle="1">
    <w:name w:val="Footer Char"/>
    <w:basedOn w:val="DefaultParagraphFont"/>
    <w:link w:val="Footer"/>
    <w:uiPriority w:val="99"/>
    <w:qFormat/>
    <w:rsid w:val="00cf7fac"/>
    <w:rPr/>
  </w:style>
  <w:style w:type="character" w:styleId="PlaceholderText">
    <w:name w:val="Placeholder Text"/>
    <w:basedOn w:val="DefaultParagraphFont"/>
    <w:uiPriority w:val="99"/>
    <w:semiHidden/>
    <w:qFormat/>
    <w:rsid w:val="00061495"/>
    <w:rPr>
      <w:color w:val="808080"/>
    </w:rPr>
  </w:style>
  <w:style w:type="character" w:styleId="Tarybosstiliusbold" w:customStyle="1">
    <w:name w:val="Tarybos stilius bold"/>
    <w:basedOn w:val="DefaultParagraphFont"/>
    <w:uiPriority w:val="1"/>
    <w:qFormat/>
    <w:rsid w:val="00ab4cb1"/>
    <w:rPr>
      <w:rFonts w:ascii="Georgia" w:hAnsi="Georgia"/>
      <w:b/>
      <w:color w:val="auto"/>
      <w:sz w:val="24"/>
    </w:rPr>
  </w:style>
  <w:style w:type="character" w:styleId="TarybosstiliusChar" w:customStyle="1">
    <w:name w:val="Tarybos stilius Char"/>
    <w:basedOn w:val="DefaultParagraphFont"/>
    <w:link w:val="Tarybosstilius"/>
    <w:qFormat/>
    <w:rsid w:val="00ab4cb1"/>
    <w:rPr>
      <w:rFonts w:ascii="Georgia" w:hAnsi="Georgia"/>
    </w:rPr>
  </w:style>
  <w:style w:type="character" w:styleId="Hyperlink">
    <w:name w:val="Hyperlink"/>
    <w:basedOn w:val="DefaultParagraphFont"/>
    <w:uiPriority w:val="99"/>
    <w:unhideWhenUsed/>
    <w:rsid w:val="00980cb3"/>
    <w:rPr>
      <w:color w:themeColor="hyperlink" w:val="0000FF"/>
      <w:u w:val="single"/>
    </w:rPr>
  </w:style>
  <w:style w:type="character" w:styleId="UnresolvedMention1" w:customStyle="1">
    <w:name w:val="Unresolved Mention1"/>
    <w:basedOn w:val="DefaultParagraphFont"/>
    <w:uiPriority w:val="99"/>
    <w:semiHidden/>
    <w:unhideWhenUsed/>
    <w:qFormat/>
    <w:rsid w:val="00980cb3"/>
    <w:rPr>
      <w:color w:val="808080"/>
      <w:shd w:fill="E6E6E6" w:val="clear"/>
    </w:rPr>
  </w:style>
  <w:style w:type="character" w:styleId="FootnoteTextChar" w:customStyle="1">
    <w:name w:val="Footnote Text Char"/>
    <w:basedOn w:val="DefaultParagraphFont"/>
    <w:link w:val="FootnoteText"/>
    <w:uiPriority w:val="99"/>
    <w:semiHidden/>
    <w:qFormat/>
    <w:rsid w:val="00f74821"/>
    <w:rPr>
      <w:sz w:val="20"/>
      <w:szCs w:val="20"/>
    </w:rPr>
  </w:style>
  <w:style w:type="character" w:styleId="FootnoteCharacters">
    <w:name w:val="Footnote Characters"/>
    <w:basedOn w:val="DefaultParagraphFont"/>
    <w:uiPriority w:val="99"/>
    <w:semiHidden/>
    <w:unhideWhenUsed/>
    <w:qFormat/>
    <w:rsid w:val="00f74821"/>
    <w:rPr>
      <w:vertAlign w:val="superscript"/>
    </w:rPr>
  </w:style>
  <w:style w:type="character" w:styleId="FootnoteReference">
    <w:name w:val="Footnote Reference"/>
    <w:rPr>
      <w:vertAlign w:val="superscript"/>
    </w:rPr>
  </w:style>
  <w:style w:type="character" w:styleId="Annotationreference">
    <w:name w:val="annotation reference"/>
    <w:basedOn w:val="DefaultParagraphFont"/>
    <w:uiPriority w:val="99"/>
    <w:semiHidden/>
    <w:unhideWhenUsed/>
    <w:qFormat/>
    <w:rsid w:val="00ee61e9"/>
    <w:rPr>
      <w:sz w:val="16"/>
      <w:szCs w:val="16"/>
    </w:rPr>
  </w:style>
  <w:style w:type="character" w:styleId="CommentTextChar" w:customStyle="1">
    <w:name w:val="Comment Text Char"/>
    <w:basedOn w:val="DefaultParagraphFont"/>
    <w:link w:val="Annotationtext"/>
    <w:uiPriority w:val="99"/>
    <w:qFormat/>
    <w:rsid w:val="00ee61e9"/>
    <w:rPr>
      <w:sz w:val="20"/>
      <w:szCs w:val="20"/>
    </w:rPr>
  </w:style>
  <w:style w:type="character" w:styleId="CommentSubjectChar" w:customStyle="1">
    <w:name w:val="Comment Subject Char"/>
    <w:basedOn w:val="CommentTextChar"/>
    <w:link w:val="Annotationsubject"/>
    <w:uiPriority w:val="99"/>
    <w:semiHidden/>
    <w:qFormat/>
    <w:rsid w:val="00ee61e9"/>
    <w:rPr>
      <w:b/>
      <w:bCs/>
      <w:sz w:val="20"/>
      <w:szCs w:val="20"/>
    </w:rPr>
  </w:style>
  <w:style w:type="character" w:styleId="UnresolvedMention">
    <w:name w:val="Unresolved Mention"/>
    <w:basedOn w:val="DefaultParagraphFont"/>
    <w:uiPriority w:val="99"/>
    <w:semiHidden/>
    <w:unhideWhenUsed/>
    <w:qFormat/>
    <w:rsid w:val="0055785f"/>
    <w:rPr>
      <w:color w:val="605E5C"/>
      <w:shd w:fill="E1DFDD" w:val="clear"/>
    </w:rPr>
  </w:style>
  <w:style w:type="character" w:styleId="Normaltextrun" w:customStyle="1">
    <w:name w:val="normaltextrun"/>
    <w:basedOn w:val="DefaultParagraphFont"/>
    <w:qFormat/>
    <w:rsid w:val="00252d75"/>
    <w:rPr/>
  </w:style>
  <w:style w:type="character" w:styleId="Eop" w:customStyle="1">
    <w:name w:val="eop"/>
    <w:basedOn w:val="DefaultParagraphFont"/>
    <w:qFormat/>
    <w:rsid w:val="00252d75"/>
    <w:rPr/>
  </w:style>
  <w:style w:type="character" w:styleId="Cf01" w:customStyle="1">
    <w:name w:val="cf01"/>
    <w:basedOn w:val="DefaultParagraphFont"/>
    <w:qFormat/>
    <w:rsid w:val="00fb1b86"/>
    <w:rPr>
      <w:rFonts w:ascii="Segoe UI" w:hAnsi="Segoe UI" w:cs="Segoe UI"/>
      <w:i/>
      <w:iCs/>
      <w:sz w:val="18"/>
      <w:szCs w:val="18"/>
    </w:rPr>
  </w:style>
  <w:style w:type="character" w:styleId="EndnoteReference">
    <w:name w:val="Endnote Reference"/>
    <w:rPr>
      <w:vertAlign w:val="superscript"/>
    </w:rPr>
  </w:style>
  <w:style w:type="character" w:styleId="EndnoteCharacters">
    <w:name w:val="Endnote Characters"/>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Times New Roman" w:hAnsi="Times New Roman" w:cs="Arial Unicode MS"/>
    </w:rPr>
  </w:style>
  <w:style w:type="paragraph" w:styleId="Caption">
    <w:name w:val="Caption"/>
    <w:basedOn w:val="Normal"/>
    <w:qFormat/>
    <w:pPr>
      <w:suppressLineNumbers/>
      <w:spacing w:before="120" w:after="120"/>
    </w:pPr>
    <w:rPr>
      <w:rFonts w:ascii="Times New Roman" w:hAnsi="Times New Roman" w:cs="Arial Unicode MS"/>
      <w:i/>
      <w:iCs/>
      <w:sz w:val="24"/>
      <w:szCs w:val="24"/>
    </w:rPr>
  </w:style>
  <w:style w:type="paragraph" w:styleId="Index">
    <w:name w:val="Index"/>
    <w:basedOn w:val="Normal"/>
    <w:qFormat/>
    <w:pPr>
      <w:suppressLineNumbers/>
    </w:pPr>
    <w:rPr>
      <w:rFonts w:ascii="Times New Roman" w:hAnsi="Times New Roman" w:cs="Arial Unicode MS"/>
    </w:rPr>
  </w:style>
  <w:style w:type="paragraph" w:styleId="BalloonText">
    <w:name w:val="Balloon Text"/>
    <w:basedOn w:val="Normal"/>
    <w:link w:val="BalloonTextChar"/>
    <w:uiPriority w:val="99"/>
    <w:semiHidden/>
    <w:unhideWhenUsed/>
    <w:qFormat/>
    <w:rsid w:val="007a4e15"/>
    <w:pPr/>
    <w:rPr>
      <w:rFonts w:ascii="Lucida Grande" w:hAnsi="Lucida Grande" w:cs="Lucida Grande"/>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cf7fac"/>
    <w:pPr>
      <w:tabs>
        <w:tab w:val="clear" w:pos="720"/>
        <w:tab w:val="center" w:pos="4680" w:leader="none"/>
        <w:tab w:val="right" w:pos="9360" w:leader="none"/>
      </w:tabs>
    </w:pPr>
    <w:rPr/>
  </w:style>
  <w:style w:type="paragraph" w:styleId="Footer">
    <w:name w:val="Footer"/>
    <w:basedOn w:val="Normal"/>
    <w:link w:val="FooterChar"/>
    <w:uiPriority w:val="99"/>
    <w:unhideWhenUsed/>
    <w:rsid w:val="00cf7fac"/>
    <w:pPr>
      <w:tabs>
        <w:tab w:val="clear" w:pos="720"/>
        <w:tab w:val="center" w:pos="4680" w:leader="none"/>
        <w:tab w:val="right" w:pos="9360" w:leader="none"/>
      </w:tabs>
    </w:pPr>
    <w:rPr/>
  </w:style>
  <w:style w:type="paragraph" w:styleId="Tarybosstilius" w:customStyle="1">
    <w:name w:val="Tarybos stilius"/>
    <w:basedOn w:val="Normal"/>
    <w:link w:val="TarybosstiliusChar"/>
    <w:qFormat/>
    <w:rsid w:val="00ab4cb1"/>
    <w:pPr>
      <w:widowControl w:val="false"/>
      <w:tabs>
        <w:tab w:val="clear" w:pos="720"/>
        <w:tab w:val="left" w:pos="3640" w:leader="none"/>
        <w:tab w:val="left" w:pos="4373" w:leader="none"/>
      </w:tabs>
      <w:spacing w:before="0" w:after="240"/>
    </w:pPr>
    <w:rPr>
      <w:rFonts w:ascii="Georgia" w:hAnsi="Georgia"/>
    </w:rPr>
  </w:style>
  <w:style w:type="paragraph" w:styleId="ListParagraph">
    <w:name w:val="List Paragraph"/>
    <w:basedOn w:val="Normal"/>
    <w:uiPriority w:val="34"/>
    <w:qFormat/>
    <w:rsid w:val="00af1d0e"/>
    <w:pPr>
      <w:spacing w:before="0" w:after="0"/>
      <w:ind w:left="720"/>
      <w:contextualSpacing/>
    </w:pPr>
    <w:rPr/>
  </w:style>
  <w:style w:type="paragraph" w:styleId="FootnoteText">
    <w:name w:val="Footnote Text"/>
    <w:basedOn w:val="Normal"/>
    <w:link w:val="FootnoteTextChar"/>
    <w:uiPriority w:val="99"/>
    <w:semiHidden/>
    <w:unhideWhenUsed/>
    <w:rsid w:val="00f74821"/>
    <w:pPr/>
    <w:rPr>
      <w:sz w:val="20"/>
      <w:szCs w:val="20"/>
    </w:rPr>
  </w:style>
  <w:style w:type="paragraph" w:styleId="Annotationtext">
    <w:name w:val="annotation text"/>
    <w:basedOn w:val="Normal"/>
    <w:link w:val="CommentTextChar"/>
    <w:uiPriority w:val="99"/>
    <w:unhideWhenUsed/>
    <w:qFormat/>
    <w:rsid w:val="00ee61e9"/>
    <w:pPr/>
    <w:rPr>
      <w:sz w:val="20"/>
      <w:szCs w:val="20"/>
    </w:rPr>
  </w:style>
  <w:style w:type="paragraph" w:styleId="Annotationsubject">
    <w:name w:val="annotation subject"/>
    <w:basedOn w:val="Annotationtext"/>
    <w:next w:val="Annotationtext"/>
    <w:link w:val="CommentSubjectChar"/>
    <w:uiPriority w:val="99"/>
    <w:semiHidden/>
    <w:unhideWhenUsed/>
    <w:qFormat/>
    <w:rsid w:val="00ee61e9"/>
    <w:pPr/>
    <w:rPr>
      <w:b/>
      <w:bCs/>
    </w:rPr>
  </w:style>
  <w:style w:type="paragraph" w:styleId="Revision">
    <w:name w:val="Revision"/>
    <w:uiPriority w:val="99"/>
    <w:semiHidden/>
    <w:qFormat/>
    <w:rsid w:val="0055785f"/>
    <w:pPr>
      <w:widowControl/>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paragraph" w:styleId="Paragraph" w:customStyle="1">
    <w:name w:val="paragraph"/>
    <w:basedOn w:val="Normal"/>
    <w:qFormat/>
    <w:rsid w:val="00252d75"/>
    <w:pPr>
      <w:spacing w:beforeAutospacing="1" w:afterAutospacing="1"/>
    </w:pPr>
    <w:rPr>
      <w:rFonts w:ascii="Times New Roman" w:hAnsi="Times New Roman" w:eastAsia="Times New Roman" w:cs="Times New Roman"/>
      <w:lang w:val="en-US"/>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af1d0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1drv.ms/x/s!Agi31EduJSaCgiBSeEglyv9F4xLT?e=oIaKU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www.sciencedirect.com/topics/mathematics/poststratification" TargetMode="External"/>
</Relationships>
</file>

<file path=word/_rels/header2.xml.rels><?xml version="1.0" encoding="UTF-8"?>
<Relationships xmlns="http://schemas.openxmlformats.org/package/2006/relationships"><Relationship Id="rId1" Type="http://schemas.openxmlformats.org/officeDocument/2006/relationships/image" Target="media/image8.wmf"/>
</Relationships>
</file>

<file path=word/_rels/header3.xml.rels><?xml version="1.0" encoding="UTF-8"?>
<Relationships xmlns="http://schemas.openxmlformats.org/package/2006/relationships"><Relationship Id="rId1" Type="http://schemas.openxmlformats.org/officeDocument/2006/relationships/image" Target="media/image8.wm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02149-5F60-4C39-9483-CA2520B77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Application>LibreOffice/24.2.1.2$MacOSX_AARCH64 LibreOffice_project/db4def46b0453cc22e2d0305797cf981b68ef5ac</Application>
  <AppVersion>15.0000</AppVersion>
  <Pages>4</Pages>
  <Words>977</Words>
  <Characters>6593</Characters>
  <CharactersWithSpaces>7552</CharactersWithSpaces>
  <Paragraphs>39</Paragraphs>
  <Company>Leo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2024-07-05T06:29:00Z</dcterms:created>
  <dc:creator>LEO Leo</dc:creator>
  <dc:description/>
  <dc:language>en-US</dc:language>
  <cp:lastModifiedBy>Ivan Trunov</cp:lastModifiedBy>
  <cp:lastPrinted>2018-07-02T10:23:00Z</cp:lastPrinted>
  <dcterms:modified xsi:type="dcterms:W3CDTF">2024-07-11T15:55:36Z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file>