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LaTeX Math Rendering Test</w:t>
      </w:r>
      <w:r/>
    </w:p>
    <w:p>
      <w:pPr>
        <w:pStyle w:val="Heading2"/>
      </w:pPr>
      <w:r>
        <w:t>Inline Simple</w:t>
      </w:r>
      <w:r/>
    </w:p>
    <w:p>
      <w:r/>
      <w:r>
        <w:t xml:space="preserve">The equation </w:t>
      </w:r>
      <m:oMath>
        <m:r>
          <w:rPr>
            <w:rFonts w:ascii="Cambria Math" w:eastAsia="Cambria Math" w:hAnsi="Cambria Math" w:cs="Cambria Math"/>
          </w:rPr>
          <m:t>E=m</m:t>
        </m:r>
        <m:sSup>
          <m:e>
            <m:r>
              <w:rPr>
                <w:rFonts w:ascii="Cambria Math" w:eastAsia="Cambria Math" w:hAnsi="Cambria Math" w:cs="Cambria Math"/>
              </w:rPr>
              <m:t>c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t xml:space="preserve"> describes mass-energy equivalence. Greek letters: </w:t>
      </w:r>
      <m:oMath>
        <m:r>
          <w:rPr>
            <w:rFonts w:ascii="Cambria Math" w:eastAsia="Cambria Math" w:hAnsi="Cambria Math" w:cs="Cambria Math"/>
          </w:rPr>
          <m:t>α+β=γ</m:t>
        </m:r>
      </m:oMath>
      <w:r>
        <w:t xml:space="preserve"> and temperature change </w:t>
      </w:r>
      <m:oMath>
        <m:r>
          <w:rPr>
            <w:rFonts w:ascii="Cambria Math" w:eastAsia="Cambria Math" w:hAnsi="Cambria Math" w:cs="Cambria Math"/>
          </w:rPr>
          <m:t>ΔT=</m:t>
        </m:r>
        <m:sSub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f</m:t>
            </m:r>
          </m:sub>
        </m:sSub>
        <m:r>
          <w:rPr>
            <w:rFonts w:ascii="Cambria Math" w:eastAsia="Cambria Math" w:hAnsi="Cambria Math" w:cs="Cambria Math"/>
          </w:rPr>
          <m:t>−</m:t>
        </m:r>
        <m:sSub>
          <m:e>
            <m:r>
              <w:rPr>
                <w:rFonts w:ascii="Cambria Math" w:eastAsia="Cambria Math" w:hAnsi="Cambria Math" w:cs="Cambria Math"/>
              </w:rPr>
              <m:t>T</m:t>
            </m:r>
          </m:e>
          <m:sub>
            <m:r>
              <w:rPr>
                <w:rFonts w:ascii="Cambria Math" w:eastAsia="Cambria Math" w:hAnsi="Cambria Math" w:cs="Cambria Math"/>
              </w:rPr>
              <m:t>i</m:t>
            </m:r>
          </m:sub>
        </m:sSub>
      </m:oMath>
      <w:r>
        <w:t xml:space="preserve">.</w:t>
      </w:r>
      <w:r/>
    </w:p>
    <w:p>
      <w:pPr>
        <w:pStyle w:val="Heading2"/>
      </w:pPr>
      <w:r>
        <w:t>Inline Complex</w:t>
      </w:r>
      <w:r/>
    </w:p>
    <w:p>
      <w:r/>
      <w:r>
        <w:t xml:space="preserve">The quadratic formula </w:t>
      </w:r>
      <m:oMath>
        <m:r>
          <w:rPr>
            <w:rFonts w:ascii="Cambria Math" w:eastAsia="Cambria Math" w:hAnsi="Cambria Math" w:cs="Cambria Math"/>
          </w:rPr>
          <m:t>x=</m:t>
        </m:r>
        <m:f>
          <m:fPr>
            <m:type m:val="bar"/>
          </m:fPr>
          <m:num>
            <m:r>
              <w:rPr>
                <w:rFonts w:ascii="Cambria Math" w:eastAsia="Cambria Math" w:hAnsi="Cambria Math" w:cs="Cambria Math"/>
              </w:rPr>
              <m:t>−b±</m:t>
            </m:r>
            <m:rad>
              <m:radPr>
                <m:degHide m:val="on"/>
              </m:radPr>
              <m:deg/>
              <m:e>
                <m:sSup>
                  <m:e>
                    <m:r>
                      <w:rPr>
                        <w:rFonts w:ascii="Cambria Math" w:eastAsia="Cambria Math" w:hAnsi="Cambria Math" w:cs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  <m:r>
                  <w:rPr>
                    <w:rFonts w:ascii="Cambria Math" w:eastAsia="Cambria Math" w:hAnsi="Cambria Math" w:cs="Cambria Math"/>
                  </w:rPr>
                  <m:t>−4ac</m:t>
                </m:r>
              </m:e>
            </m:rad>
          </m:num>
          <m:den>
            <m:r>
              <w:rPr>
                <w:rFonts w:ascii="Cambria Math" w:eastAsia="Cambria Math" w:hAnsi="Cambria Math" w:cs="Cambria Math"/>
              </w:rPr>
              <m:t>2a</m:t>
            </m:r>
          </m:den>
        </m:f>
      </m:oMath>
      <w:r>
        <w:t xml:space="preserve"> solves any second-degree polynomial. The Euler identity </w:t>
      </w:r>
      <m:oMath>
        <m:sSup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iπ</m:t>
            </m:r>
          </m:sup>
        </m:sSup>
        <m:r>
          <w:rPr>
            <w:rFonts w:ascii="Cambria Math" w:eastAsia="Cambria Math" w:hAnsi="Cambria Math" w:cs="Cambria Math"/>
          </w:rPr>
          <m:t>+1=0</m:t>
        </m:r>
      </m:oMath>
      <w:r>
        <w:t xml:space="preserve"> links five constants. Probability density </w:t>
      </w:r>
      <m:oMath>
        <m:r>
          <w:rPr>
            <w:rFonts w:ascii="Cambria Math" w:eastAsia="Cambria Math" w:hAnsi="Cambria Math" w:cs="Cambria Math"/>
          </w:rPr>
          <m:t>f(x)=</m:t>
        </m:r>
        <m:f>
          <m:fPr>
            <m:type m:val="bar"/>
          </m:fPr>
          <m:num>
            <m:r>
              <w:rPr>
                <w:rFonts w:ascii="Cambria Math" w:eastAsia="Cambria Math" w:hAnsi="Cambria Math" w:cs="Cambria Math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</w:rPr>
              <m:t>σ</m:t>
            </m:r>
            <m:rad>
              <m:radPr>
                <m:degHide m:val="on"/>
              </m:radPr>
              <m:deg/>
              <m:e>
                <m:r>
                  <w:rPr>
                    <w:rFonts w:ascii="Cambria Math" w:eastAsia="Cambria Math" w:hAnsi="Cambria Math" w:cs="Cambria Math"/>
                  </w:rPr>
                  <m:t>2π</m:t>
                </m:r>
              </m:e>
            </m:rad>
          </m:den>
        </m:f>
        <m:sSup>
          <m:e>
            <m:r>
              <w:rPr>
                <w:rFonts w:ascii="Cambria Math" w:eastAsia="Cambria Math" w:hAnsi="Cambria Math" w:cs="Cambria Math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</w:rPr>
              <m:t>−</m:t>
            </m:r>
            <m:f>
              <m:fPr>
                <m:type m:val="bar"/>
              </m:fPr>
              <m:num>
                <m:r>
                  <w:rPr>
                    <w:rFonts w:ascii="Cambria Math" w:eastAsia="Cambria Math" w:hAnsi="Cambria Math" w:cs="Cambria Math"/>
                  </w:rPr>
                  <m:t>(x−μ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</w:rPr>
                      <m:t>)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="Cambria Math" w:hAnsi="Cambria Math" w:cs="Cambria Math"/>
                  </w:rPr>
                  <m:t>2</m:t>
                </m:r>
                <m:sSup>
                  <m:e>
                    <m:r>
                      <w:rPr>
                        <w:rFonts w:ascii="Cambria Math" w:eastAsia="Cambria Math" w:hAnsi="Cambria Math" w:cs="Cambria Math"/>
                      </w:rPr>
                      <m:t>σ</m:t>
                    </m:r>
                  </m:e>
                  <m:sup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sup>
                </m:sSup>
              </m:den>
            </m:f>
          </m:sup>
        </m:sSup>
      </m:oMath>
      <w:r>
        <w:t xml:space="preserve"> defines a Gaussian.</w:t>
      </w:r>
      <w:r/>
    </w:p>
    <w:p>
      <w:pPr>
        <w:pStyle w:val="Heading2"/>
      </w:pPr>
      <w:r>
        <w:t>Display Simple</w:t>
      </w:r>
      <w:r/>
    </w:p>
    <w:p>
      <m:oMathPara>
        <m:oMath>
          <m:r>
            <w:rPr>
              <w:rFonts w:ascii="Cambria Math" w:eastAsia="Cambria Math" w:hAnsi="Cambria Math" w:cs="Cambria Math"/>
            </w:rPr>
            <m:t>F=G</m:t>
          </m:r>
          <m:f>
            <m:fPr>
              <m:type m:val="bar"/>
            </m:fPr>
            <m:num>
              <m:sSub>
                <m:e>
                  <m:r>
                    <w:rPr>
                      <w:rFonts w:ascii="Cambria Math" w:eastAsia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Cambria Math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b>
              </m:sSub>
            </m:num>
            <m:den>
              <m:sSup>
                <m:e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m:oMathPara>
        <m:oMath>
          <m:sSup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</m:t>
          </m:r>
          <m:sSup>
            <m:e>
              <m:r>
                <w:rPr>
                  <w:rFonts w:ascii="Cambria Math" w:eastAsia="Cambria Math" w:hAnsi="Cambria Math" w:cs="Cambria Math"/>
                </w:rPr>
                <m:t>b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=</m:t>
          </m:r>
          <m:sSup>
            <m:e>
              <m:r>
                <w:rPr>
                  <w:rFonts w:ascii="Cambria Math" w:eastAsia="Cambria Math" w:hAnsi="Cambria Math" w:cs="Cambria Math"/>
                </w:rPr>
                <m:t>c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</m:oMath>
      </m:oMathPara>
    </w:p>
    <w:p>
      <m:oMathPara>
        <m:oMath>
          <m:limUpp>
            <m:e>
              <m:r>
                <w:rPr>
                  <w:rFonts w:ascii="Cambria Math" w:eastAsia="Cambria Math" w:hAnsi="Cambria Math" w:cs="Cambria Math"/>
                </w:rPr>
                <m:t>F</m:t>
              </m:r>
            </m:e>
            <m:lim>
              <m:r>
                <w:rPr>
                  <w:rFonts w:ascii="Cambria Math" w:eastAsia="Cambria Math" w:hAnsi="Cambria Math" w:cs="Cambria Math"/>
                </w:rPr>
                <m:t>→</m:t>
              </m:r>
            </m:lim>
          </m:limUpp>
          <m:r>
            <w:rPr>
              <w:rFonts w:ascii="Cambria Math" w:eastAsia="Cambria Math" w:hAnsi="Cambria Math" w:cs="Cambria Math"/>
            </w:rPr>
            <m:t>=m</m:t>
          </m:r>
          <m:limUpp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lim>
              <m:r>
                <w:rPr>
                  <w:rFonts w:ascii="Cambria Math" w:eastAsia="Cambria Math" w:hAnsi="Cambria Math" w:cs="Cambria Math"/>
                </w:rPr>
                <m:t>→</m:t>
              </m:r>
            </m:lim>
          </m:limUpp>
        </m:oMath>
      </m:oMathPara>
    </w:p>
    <w:p>
      <w:pPr>
        <w:pStyle w:val="Heading2"/>
      </w:pPr>
      <w:r>
        <w:t>Display Complex</w:t>
      </w:r>
      <w:r/>
    </w:p>
    <w:p>
      <m:oMathPara>
        <m:oMath>
          <m:nary>
            <m:naryPr>
              <m:chr m:val="∫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eastAsia="Cambria Math" w:hAnsi="Cambria Math" w:cs="Cambria Math"/>
                </w:rPr>
                <m:t>0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∞</m:t>
              </m:r>
            </m:sup>
            <m:e/>
          </m:nary>
          <m:sSup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Cambria Math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sup>
          </m:sSup>
          <m:r>
            <w:rPr>
              <w:rFonts w:ascii="Cambria Math" w:eastAsia="Cambria Math" w:hAnsi="Cambria Math" w:cs="Cambria Math"/>
            </w:rPr>
            <m:t>dx=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w:rPr>
                      <w:rFonts w:ascii="Cambria Math" w:eastAsia="Cambria Math" w:hAnsi="Cambria Math" w:cs="Cambria Math"/>
                    </w:rPr>
                    <m:t>π</m:t>
                  </m:r>
                </m:e>
              </m:rad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</w:p>
    <w:p>
      <m:oMathPara>
        <m:oMath>
          <m:nary>
            <m:naryPr>
              <m:chr m:val="∑"/>
              <m:limLoc m:val="subSup"/>
              <m:grow m:val="on"/>
              <m:subHide m:val="off"/>
              <m:supHide m:val="off"/>
            </m:naryPr>
            <m:sub>
              <m:r>
                <w:rPr>
                  <w:rFonts w:ascii="Cambria Math" w:eastAsia="Cambria Math" w:hAnsi="Cambria Math" w:cs="Cambria Math"/>
                </w:rPr>
                <m:t>n=1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∞</m:t>
              </m:r>
            </m:sup>
            <m:e/>
          </m:nary>
          <m:f>
            <m:fPr>
              <m:type m:val="bar"/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eastAsia="Cambria Math" w:hAnsi="Cambria Math" w:cs="Cambria Math"/>
                    </w:rPr>
                    <m:t>π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Cambria Math" w:hAnsi="Cambria Math" w:cs="Cambria Math"/>
                </w:rPr>
                <m:t>6</m:t>
              </m:r>
            </m:den>
          </m:f>
        </m:oMath>
      </m:oMathPara>
    </w:p>
    <w:p>
      <m:oMathPara>
        <m:oMath>
          <m:r>
            <w:rPr>
              <w:rFonts w:ascii="Cambria Math" w:eastAsia="Cambria Math" w:hAnsi="Cambria Math" w:cs="Cambria Math"/>
            </w:rPr>
            <m:t>∇×</m:t>
          </m:r>
          <m:limUpp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lim>
              <m:r>
                <w:rPr>
                  <w:rFonts w:ascii="Cambria Math" w:eastAsia="Cambria Math" w:hAnsi="Cambria Math" w:cs="Cambria Math"/>
                </w:rPr>
                <m:t>→</m:t>
              </m:r>
            </m:lim>
          </m:limUpp>
          <m:r>
            <w:rPr>
              <w:rFonts w:ascii="Cambria Math" w:eastAsia="Cambria Math" w:hAnsi="Cambria Math" w:cs="Cambria Math"/>
            </w:rPr>
            <m:t>=−</m:t>
          </m:r>
          <m:f>
            <m:fPr>
              <m:type m:val="bar"/>
            </m:fPr>
            <m:num>
              <m:r>
                <w:rPr>
                  <w:rFonts w:ascii="Cambria Math" w:eastAsia="Cambria Math" w:hAnsi="Cambria Math" w:cs="Cambria Math"/>
                </w:rPr>
                <m:t>∂</m:t>
              </m:r>
              <m:limUpp>
                <m:e>
                  <m:r>
                    <w:rPr>
                      <w:rFonts w:ascii="Cambria Math" w:eastAsia="Cambria Math" w:hAnsi="Cambria Math" w:cs="Cambria Math"/>
                    </w:rPr>
                    <m:t>B</m:t>
                  </m:r>
                </m:e>
                <m:lim>
                  <m:r>
                    <w:rPr>
                      <w:rFonts w:ascii="Cambria Math" w:eastAsia="Cambria Math" w:hAnsi="Cambria Math" w:cs="Cambria Math"/>
                    </w:rPr>
                    <m:t>→</m:t>
                  </m:r>
                </m:lim>
              </m:limUpp>
            </m:num>
            <m:den>
              <m:r>
                <w:rPr>
                  <w:rFonts w:ascii="Cambria Math" w:eastAsia="Cambria Math" w:hAnsi="Cambria Math" w:cs="Cambria Math"/>
                </w:rPr>
                <m:t>∂t</m:t>
              </m:r>
            </m:den>
          </m:f>
        </m:oMath>
      </m:oMathPara>
    </w:p>
    <w:p>
      <m:oMathPara>
        <m:oMath>
          <m:f>
            <m:fPr>
              <m:type m:val="bar"/>
            </m:fPr>
            <m:num>
              <m:sSup>
                <m:e>
                  <m:r>
                    <w:rPr>
                      <w:rFonts w:ascii="Cambria Math" w:eastAsia="Cambria Math" w:hAnsi="Cambria Math" w:cs="Cambria Math"/>
                    </w:rPr>
                    <m:t>∂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Cambria Math" w:hAnsi="Cambria Math" w:cs="Cambria Math"/>
                </w:rPr>
                <m:t>u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∂</m:t>
              </m:r>
              <m:sSup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</m:e>
                <m:sup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Cambria Math" w:hAnsi="Cambria Math" w:cs="Cambria Math"/>
            </w:rPr>
            <m:t>=</m:t>
          </m:r>
          <m:sSup>
            <m:e>
              <m:r>
                <w:rPr>
                  <w:rFonts w:ascii="Cambria Math" w:eastAsia="Cambria Math" w:hAnsi="Cambria Math" w:cs="Cambria Math"/>
                </w:rPr>
                <m:t>c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Cambria Math" w:hAnsi="Cambria Math" w:cs="Cambria Math"/>
                </w:rPr>
                <m:t>∇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u</m:t>
          </m:r>
        </m:oMath>
      </m:oMathPara>
    </w:p>
    <w:p>
      <m:oMathPara>
        <m:oMath>
          <m:r>
            <w:rPr>
              <w:rFonts w:ascii="Cambria Math" w:eastAsia="Cambria Math" w:hAnsi="Cambria Math" w:cs="Cambria Math"/>
            </w:rPr>
            <m:t>ℒ=∫</m:t>
          </m:r>
          <m:r>
            <w:rPr>
              <w:rFonts w:ascii="Cambria Math" w:eastAsia="Cambria Math" w:hAnsi="Cambria Math" w:cs="Cambria Math"/>
            </w:rPr>
            <m:t>(</m:t>
          </m:r>
          <m:f>
            <m:fPr>
              <m:type m:val="bar"/>
            </m:fPr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Cambria Math" w:hAnsi="Cambria Math" w:cs="Cambria Math"/>
                </w:rPr>
                <m:t>∂</m:t>
              </m:r>
            </m:e>
            <m:sub>
              <m:r>
                <w:rPr>
                  <w:rFonts w:ascii="Cambria Math" w:eastAsia="Cambria Math" w:hAnsi="Cambria Math" w:cs="Cambria Math"/>
                </w:rPr>
                <m:t>μ</m:t>
              </m:r>
            </m:sub>
          </m:sSub>
          <m:r>
            <w:rPr>
              <w:rFonts w:ascii="Cambria Math" w:eastAsia="Cambria Math" w:hAnsi="Cambria Math" w:cs="Cambria Math"/>
            </w:rPr>
            <m:t>ϕ</m:t>
          </m:r>
          <m:sSup>
            <m:e>
              <m:r>
                <w:rPr>
                  <w:rFonts w:ascii="Cambria Math" w:eastAsia="Cambria Math" w:hAnsi="Cambria Math" w:cs="Cambria Math"/>
                </w:rPr>
                <m:t>∂</m:t>
              </m:r>
            </m:e>
            <m:sup>
              <m:r>
                <w:rPr>
                  <w:rFonts w:ascii="Cambria Math" w:eastAsia="Cambria Math" w:hAnsi="Cambria Math" w:cs="Cambria Math"/>
                </w:rPr>
                <m:t>μ</m:t>
              </m:r>
            </m:sup>
          </m:sSup>
          <m:r>
            <w:rPr>
              <w:rFonts w:ascii="Cambria Math" w:eastAsia="Cambria Math" w:hAnsi="Cambria Math" w:cs="Cambria Math"/>
            </w:rPr>
            <m:t>ϕ−V(ϕ))</m:t>
          </m:r>
          <m:sSup>
            <m:e>
              <m:r>
                <w:rPr>
                  <w:rFonts w:ascii="Cambria Math" w:eastAsia="Cambria Math" w:hAnsi="Cambria Math" w:cs="Cambria Math"/>
                </w:rPr>
                <m:t>d</m:t>
              </m:r>
            </m:e>
            <m:sup>
              <m:r>
                <w:rPr>
                  <w:rFonts w:ascii="Cambria Math" w:eastAsia="Cambria Math" w:hAnsi="Cambria Math" w:cs="Cambria Math"/>
                </w:rPr>
                <m:t>4</m:t>
              </m:r>
            </m:sup>
          </m:sSup>
          <m:r>
            <w:rPr>
              <w:rFonts w:ascii="Cambria Math" w:eastAsia="Cambria Math" w:hAnsi="Cambria Math" w:cs="Cambria Math"/>
            </w:rPr>
            <m:t>x</m:t>
          </m:r>
        </m:oMath>
      </m:oMathPara>
    </w:p>
    <w:p>
      <w:pPr>
        <w:pStyle w:val="Heading2"/>
      </w:pPr>
      <w:r>
        <w:t>Mixed Content</w:t>
      </w:r>
      <w:r/>
    </w:p>
    <w:p>
      <w:r/>
      <w:r>
        <w:t xml:space="preserve">Einstein showed that </w:t>
      </w:r>
      <m:oMath>
        <m:r>
          <w:rPr>
            <w:rFonts w:ascii="Cambria Math" w:eastAsia="Cambria Math" w:hAnsi="Cambria Math" w:cs="Cambria Math"/>
          </w:rPr>
          <m:t>E=m</m:t>
        </m:r>
        <m:sSup>
          <m:e>
            <m:r>
              <w:rPr>
                <w:rFonts w:ascii="Cambria Math" w:eastAsia="Cambria Math" w:hAnsi="Cambria Math" w:cs="Cambria Math"/>
              </w:rPr>
              <m:t>c</m:t>
            </m:r>
          </m:e>
          <m:sup>
            <m:r>
              <w:rPr>
                <w:rFonts w:ascii="Cambria Math" w:eastAsia="Cambria Math" w:hAnsi="Cambria Math" w:cs="Cambria Math"/>
              </w:rPr>
              <m:t>2</m:t>
            </m:r>
          </m:sup>
        </m:sSup>
      </m:oMath>
      <w:r>
        <w:t xml:space="preserve"> which leads to the full energy-momentum relation:</w:t>
      </w:r>
      <w:r/>
    </w:p>
    <w:p>
      <m:oMathPara>
        <m:oMath>
          <m:sSup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=(pc</m:t>
          </m:r>
          <m:sSup>
            <m:e>
              <m:r>
                <w:rPr>
                  <w:rFonts w:ascii="Cambria Math" w:eastAsia="Cambria Math" w:hAnsi="Cambria Math" w:cs="Cambria Math"/>
                </w:rPr>
                <m:t>)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+(m</m:t>
          </m:r>
          <m:sSup>
            <m:e>
              <m:r>
                <w:rPr>
                  <w:rFonts w:ascii="Cambria Math" w:eastAsia="Cambria Math" w:hAnsi="Cambria Math" w:cs="Cambria Math"/>
                </w:rPr>
                <m:t>c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Cambria Math" w:hAnsi="Cambria Math" w:cs="Cambria Math"/>
                </w:rPr>
                <m:t>)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</m:oMath>
      </m:oMathPara>
    </w:p>
    <w:p>
      <w:r/>
      <w:r>
        <w:t xml:space="preserve">In thermodynamics, the entropy change </w:t>
      </w:r>
      <m:oMath>
        <m:r>
          <w:rPr>
            <w:rFonts w:ascii="Cambria Math" w:eastAsia="Cambria Math" w:hAnsi="Cambria Math" w:cs="Cambria Math"/>
          </w:rPr>
          <m:t>ΔS=∫</m:t>
        </m:r>
        <m:f>
          <m:fPr>
            <m:type m:val="bar"/>
          </m:fPr>
          <m:num>
            <m:r>
              <w:rPr>
                <w:rFonts w:ascii="Cambria Math" w:eastAsia="Cambria Math" w:hAnsi="Cambria Math" w:cs="Cambria Math"/>
              </w:rPr>
              <m:t>dQ</m:t>
            </m:r>
          </m:num>
          <m:den>
            <m:r>
              <w:rPr>
                <w:rFonts w:ascii="Cambria Math" w:eastAsia="Cambria Math" w:hAnsi="Cambria Math" w:cs="Cambria Math"/>
              </w:rPr>
              <m:t>T</m:t>
            </m:r>
          </m:den>
        </m:f>
      </m:oMath>
      <w:r>
        <w:t xml:space="preserve"> governs irreversibility, while the partition function:</w:t>
      </w:r>
      <w:r/>
    </w:p>
    <w:p>
      <m:oMathPara>
        <m:oMath>
          <m:r>
            <w:rPr>
              <w:rFonts w:ascii="Cambria Math" w:eastAsia="Cambria Math" w:hAnsi="Cambria Math" w:cs="Cambria Math"/>
            </w:rPr>
            <m:t>Z=</m:t>
          </m:r>
          <m:nary>
            <m:naryPr>
              <m:chr m:val="∑"/>
              <m:limLoc m:val="subSup"/>
              <m:grow m:val="on"/>
              <m:subHide m:val="off"/>
              <m:supHide m:val="on"/>
            </m:naryPr>
            <m:sub>
              <m:r>
                <w:rPr>
                  <w:rFonts w:ascii="Cambria Math" w:eastAsia="Cambria Math" w:hAnsi="Cambria Math" w:cs="Cambria Math"/>
                </w:rPr>
                <m:t>i</m:t>
              </m:r>
            </m:sub>
            <m:sup/>
            <m:e/>
          </m:nary>
          <m:sSup>
            <m:e>
              <m:r>
                <w:rPr>
                  <w:rFonts w:ascii="Cambria Math" w:eastAsia="Cambria Math" w:hAnsi="Cambria Math" w:cs="Cambria Math"/>
                </w:rPr>
                <m:t>e</m:t>
              </m:r>
            </m:e>
            <m:sup>
              <m:r>
                <w:rPr>
                  <w:rFonts w:ascii="Cambria Math" w:eastAsia="Cambria Math" w:hAnsi="Cambria Math" w:cs="Cambria Math"/>
                </w:rPr>
                <m:t>−β</m:t>
              </m:r>
              <m:sSub>
                <m:e>
                  <m:r>
                    <w:rPr>
                      <w:rFonts w:ascii="Cambria Math" w:eastAsia="Cambria Math" w:hAnsi="Cambria Math" w:cs="Cambria Math"/>
                    </w:rPr>
                    <m:t>E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</m:sub>
              </m:sSub>
            </m:sup>
          </m:sSup>
        </m:oMath>
      </m:oMathPara>
    </w:p>
    <w:p>
      <w:r/>
      <w:r>
        <w:t xml:space="preserve">connects statistical mechanics to thermodynamics via </w:t>
      </w:r>
      <m:oMath>
        <m:r>
          <w:rPr>
            <w:rFonts w:ascii="Cambria Math" w:eastAsia="Cambria Math" w:hAnsi="Cambria Math" w:cs="Cambria Math"/>
          </w:rPr>
          <m:t>F=−</m:t>
        </m:r>
        <m:sSub>
          <m:e>
            <m:r>
              <w:rPr>
                <w:rFonts w:ascii="Cambria Math" w:eastAsia="Cambria Math" w:hAnsi="Cambria Math" w:cs="Cambria Math"/>
              </w:rPr>
              <m:t>k</m:t>
            </m:r>
          </m:e>
          <m:sub>
            <m:r>
              <w:rPr>
                <w:rFonts w:ascii="Cambria Math" w:eastAsia="Cambria Math" w:hAnsi="Cambria Math" w:cs="Cambria Math"/>
              </w:rPr>
              <m:t>B</m:t>
            </m:r>
          </m:sub>
        </m:sSub>
        <m:r>
          <w:rPr>
            <w:rFonts w:ascii="Cambria Math" w:eastAsia="Cambria Math" w:hAnsi="Cambria Math" w:cs="Cambria Math"/>
          </w:rPr>
          <m:t>T</m:t>
        </m:r>
        <m:r>
          <w:rPr>
            <w:rFonts w:ascii="Cambria Math" w:eastAsia="Cambria Math" w:hAnsi="Cambria Math" w:cs="Cambria Math"/>
          </w:rPr>
          <m:rPr>
            <m:sty m:val="p"/>
          </m:rPr>
          <m:t>ln</m:t>
        </m:r>
        <m:r>
          <w:rPr>
            <w:rFonts w:ascii="Cambria Math" w:eastAsia="Cambria Math" w:hAnsi="Cambria Math" w:cs="Cambria Math"/>
          </w:rPr>
          <m:t>Z</m:t>
        </m:r>
      </m:oMath>
      <w:r>
        <w:t xml:space="preserve">.</w:t>
      </w:r>
      <w:r/>
    </w:p>
    <w:p>
      <w:pPr>
        <w:pStyle w:val="Heading2"/>
      </w:pPr>
      <w:r>
        <w:t>Currency (should NOT render)</w:t>
      </w:r>
      <w:r/>
    </w:p>
    <w:p>
      <w:r/>
      <w:r>
        <w:t>The price is \$100 and the total is \$200. We saved \$50 on the order.</w:t>
      </w:r>
      <w:r/>
    </w:p>
    <w:p>
      <w:pPr>
        <w:pStyle w:val="Heading2"/>
      </w:pPr>
      <w:r>
        <w:t>Math in Code (should NOT render)</w:t>
      </w:r>
      <w:r/>
    </w:p>
    <w:p>
      <w:r/>
      <w:r>
        <w:rPr>
          <w:rFonts w:ascii="Courier" w:hAnsi="Courier"/>
          <w:color w:val="3D7B7B"/>
        </w:rPr>
        <w:t># Formula: $E=mc^2$</w:t>
      </w:r>
      <w:r>
        <w:rPr>
          <w:rFonts w:ascii="Courier" w:hAnsi="Courier"/>
        </w:rPr>
        <w:br/>
        <w:t xml:space="preserve">formula </w:t>
      </w:r>
      <w:r>
        <w:rPr>
          <w:rFonts w:ascii="Courier" w:hAnsi="Courier"/>
          <w:color w:val="666666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  <w:color w:val="BA2121"/>
        </w:rPr>
        <w:t>"$x^2 + y^2$"</w:t>
      </w:r>
      <w:r>
        <w:rPr>
          <w:rFonts w:ascii="Courier" w:hAnsi="Courier"/>
        </w:rPr>
        <w:br/>
        <w:t xml:space="preserve">result </w:t>
      </w:r>
      <w:r>
        <w:rPr>
          <w:rFonts w:ascii="Courier" w:hAnsi="Courier"/>
          <w:color w:val="666666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  <w:color w:val="666666"/>
        </w:rPr>
        <w:t>3.14</w:t>
      </w:r>
      <w:r>
        <w:rPr>
          <w:rFonts w:ascii="Courier" w:hAnsi="Courier"/>
        </w:rPr>
        <w:t xml:space="preserve"> </w:t>
      </w:r>
      <w:r>
        <w:rPr>
          <w:rFonts w:ascii="Courier" w:hAnsi="Courier"/>
          <w:color w:val="666666"/>
        </w:rPr>
        <w:t>*</w:t>
      </w:r>
      <w:r>
        <w:rPr>
          <w:rFonts w:ascii="Courier" w:hAnsi="Courier"/>
        </w:rPr>
        <w:t xml:space="preserve"> r</w:t>
      </w:r>
      <w:r>
        <w:rPr>
          <w:rFonts w:ascii="Courier" w:hAnsi="Courier"/>
          <w:color w:val="666666"/>
        </w:rPr>
        <w:t>**2</w:t>
      </w:r>
      <w:r>
        <w:rPr>
          <w:rFonts w:ascii="Courier" w:hAnsi="Courier"/>
        </w:rPr>
        <w:br/>
      </w:r>
      <w:r/>
    </w:p>
    <w:p>
      <w:r/>
      <w:r>
        <w:t xml:space="preserve">Inline code: </w:t>
      </w:r>
      <w:r>
        <w:rPr>
          <w:rFonts w:ascii="Courier" w:hAnsi="Courier"/>
        </w:rPr>
        <w:t>$E=mc^2$</w:t>
      </w:r>
      <w:r>
        <w:t xml:space="preserve"> stays as text.</w:t>
      </w:r>
      <w:r/>
    </w:p>
    <w:p>
      <w:pPr>
        <w:pStyle w:val="Heading2"/>
      </w:pPr>
      <w:r>
        <w:t>Regular Text After Math</w:t>
      </w:r>
      <w:r/>
    </w:p>
    <w:p>
      <w:r/>
      <w:r>
        <w:t>This paragraph follows the math section to verify document continues normally with no leftover markers or formatting artifacts.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