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Разбор коммерческого предложения</w:t>
        <w:br/>
        <w:t>по проверке базы в Малаховке</w:t>
      </w:r>
    </w:p>
    <w:p>
      <w:r>
        <w:t>15 октября 2026 года · Для покупателя комплекса на ул. Маяковского, 18</w:t>
      </w:r>
    </w:p>
    <w:p>
      <w:r>
        <w:rPr>
          <w:b/>
        </w:rPr>
        <w:t>Рекомендация:</w:t>
      </w:r>
      <w:r>
        <w:t xml:space="preserve"> вернуть предложение на уточнение объёма, результатов и цены до заключения договора. Перечень направлений проверки в целом полезен, однако документ не покрывает покупку всей базы и не позволяет определить окончательную стоимость услуги.</w:t>
      </w:r>
    </w:p>
    <w:p>
      <w:pPr>
        <w:pStyle w:val="Heading2"/>
      </w:pPr>
      <w:r>
        <w:t>Главное несоответствие объёма</w:t>
      </w:r>
    </w:p>
    <w:p>
      <w:r>
        <w:t>В объекте КП указан только корпус Б, кадастровый номер 50:22:0000000:13577, и участок 50:22:0030201:77. В п. 1.8 прямо написано, что заказчик приобретает одно здание. Ваш рассматриваемый проект — покупка всей базы за 330 млн ₽, включая два хостела, склады, гаражи и инфраструктуру. Проверка корпуса Б не заменяет проверку комплекса. [КП, с. 1–2]</w:t>
      </w:r>
    </w:p>
    <w:p>
      <w:r>
        <w:t>До согласования цены нужен подписанный перечень всего приобретаемого имущества: кадастровые объекты и права на землю, сети и оборудование, а также договоры, от которых зависит работа бизнеса. Девять зданий в ГПЗУ — отправной перечень для сверки, а не доказанный состав продажи.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515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Объект или показатель</w:t>
            </w:r>
          </w:p>
        </w:tc>
        <w:tc>
          <w:tcPr>
            <w:tcW w:type="dxa" w:w="1757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Площадь</w:t>
            </w:r>
          </w:p>
        </w:tc>
        <w:tc>
          <w:tcPr>
            <w:tcW w:type="dxa" w:w="4592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Что это означает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Участок 50:22:0030201:77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13 523 м²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Площадь земли по ЕГРН; не прибавляется к площадям зданий.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Корпус А</w:t>
            </w:r>
          </w:p>
        </w:tc>
        <w:tc>
          <w:tcPr>
            <w:tcW w:type="dxa" w:w="175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2 967,4 м²</w:t>
            </w:r>
          </w:p>
        </w:tc>
        <w:tc>
          <w:tcPr>
            <w:tcW w:type="dxa" w:w="4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Техплан 2025 года; включает неиспользуемый цоколь 720,7 м².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Корпус Б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2 783,0 м²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Техплан 2025 года; в старом ЕГРН 1 725,1 м².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Два корпуса над землёй</w:t>
            </w:r>
          </w:p>
        </w:tc>
        <w:tc>
          <w:tcPr>
            <w:tcW w:type="dxa" w:w="175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5 029,7 м²</w:t>
            </w:r>
          </w:p>
        </w:tc>
        <w:tc>
          <w:tcPr>
            <w:tcW w:type="dxa" w:w="4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А 2 246,7 + Б 2 783,0. Не равняется сдаваемой площади.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Девять зданий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8 248,8 м²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А и Б по техпланам, остальные по ГПЗУ; смешанный документальный итог.</w:t>
            </w:r>
          </w:p>
        </w:tc>
      </w:tr>
    </w:tbl>
    <w:p>
      <w:pPr>
        <w:spacing w:after="0"/>
      </w:pPr>
    </w:p>
    <w:p>
      <w:r>
        <w:t>Выписка по Б уже содержит назначение «жилое» и наименование «здание — общежитие». Следовательно, требование «сменить на общежитие» нуждается в объяснении: какие именно сведения и правовой режим предлагается изменить. Новая площадь техплана сама по себе не подтверждает внесение изменений в ЕГРН.</w:t>
      </w:r>
    </w:p>
    <w:p>
      <w:r>
        <w:t>Фактически сданные м² по корпусам не установлены. Число 2 200 м² было примером оформления. Подвалы, по вашему сообщению, не используются; это не означает, что все надземные площади сдаются.</w:t>
      </w:r>
    </w:p>
    <w:p>
      <w:r>
        <w:br w:type="page"/>
      </w:r>
    </w:p>
    <w:p>
      <w:pPr>
        <w:pStyle w:val="Heading1"/>
      </w:pPr>
      <w:r>
        <w:t>Правовые и градостроительные вопросы</w:t>
      </w:r>
    </w:p>
    <w:p>
      <w:pPr>
        <w:pStyle w:val="Heading2"/>
      </w:pPr>
      <w:r>
        <w:t>Пункт 1 1 Права суды и увеличение площади</w:t>
      </w:r>
    </w:p>
    <w:p>
      <w:r>
        <w:t>Проверка нужна. Пометка техплана «для судебных органов» не подтверждает наличие поданного иска или состоявшегося решения. Требуются номера дел, суды, стороны, требования, полный комплект судебных актов, отметки о вступлении в силу и сведения об обжаловании. Отдельно проверить заявленные продавцом вопросы мансард обоих корпусов и канализации.</w:t>
      </w:r>
    </w:p>
    <w:p>
      <w:r>
        <w:t>Разница по Б составляет 2 783,0 − 1 725,1 = 1 057,9 м². Она не тождественна площади мансарды: мансарда с антресолью по техплану составляет 881,4 м². Оставшиеся 176,5 м² расхождения должен объяснить кадастровый инженер, сопоставив обмеры и документы. Узаконенность увеличения площади пока не подтверждена.</w:t>
      </w:r>
    </w:p>
    <w:p>
      <w:r>
        <w:t>Помещения 50:22:0000000:84025 и 50:22:0000000:84026 действительно перечислены в выписке здания. Это ещё не означает, что они принадлежат посторонним. Нужны отдельные свежие выписки, основания прав, связь с правом на здание, документы о пользовании и состав приобретаемых прав. Их площади нельзя автоматически прибавлять к площади корпуса.</w:t>
      </w:r>
    </w:p>
    <w:p>
      <w:r>
        <w:t>По торгам нужны точная дата, продавец на торгах, извещение, протокол, договор, оплата, акт и переход права. Диапазон «2024–2025» из КП не заменяет эти сведения. Проверять следует цепочку прав, судебные споры и полноту отчуждаемого имущества, а не только отсутствие ареста в одной выписке.</w:t>
      </w:r>
    </w:p>
    <w:p>
      <w:pPr>
        <w:pStyle w:val="Heading2"/>
      </w:pPr>
      <w:r>
        <w:t>Пункты 1 6–1 8 Режим земли и фактическая деятельность</w:t>
      </w:r>
    </w:p>
    <w:p>
      <w:r>
        <w:t>Риск несоответствия использования сформулирован обоснованно как вопрос для проверки. Однако коды 3.2.4 «Общежития» и 4.7 «Гостиничное обслуживание» относятся к классификатору видов использования земельных участков. Назначение здания, его наименование и допустимая схема размещения людей требуют отдельного анализа. Формулировку «смена ВРИ земли и здания на 3.2.4» следует уточнить. [Н1]</w:t>
      </w:r>
    </w:p>
    <w:p>
      <w:r>
        <w:t>Для участка с режимом «для расположения учебного пункта» нужны действующая редакция ПЗЗ, карта зоны, регламент именно этой территории и письменная позиция компетентного органа. Следует проверить, какой вид является основным, условно разрешённым или вспомогательным и какие процедуры доступны. Наличие кода в общероссийском классификаторе не означает его доступности на этом участке.</w:t>
      </w:r>
    </w:p>
    <w:p>
      <w:r>
        <w:t>Проверять нужно оба сценария: длительное размещение работников через организации и посуточное размещение гостей. Обещание «общежитие дешевле» не доказывает, что выбранная схема охватывает обе деятельности. Отдельно нужен вывод о применимости правил средств размещения и требований к реестру. [Н2]</w:t>
      </w:r>
    </w:p>
    <w:p>
      <w:pPr>
        <w:pStyle w:val="Heading2"/>
      </w:pPr>
      <w:r>
        <w:t>Пункт 2 1 Формулировки которые надо исправить</w:t>
      </w:r>
    </w:p>
    <w:p>
      <w:r>
        <w:t>Смена земельного режима и оформление реконструкции — самостоятельные задачи. Дорожная карта должна описывать основания, последовательность, сроки и бюджет каждой процедуры; она не гарантирует положительное решение суда или администрации. [Н3]</w:t>
      </w:r>
    </w:p>
    <w:p>
      <w:r>
        <w:t>«Три года» по банкротству — не общий срок полной безопасности сделки. Исполнитель должен проверить применимые основания оспаривания, периоды и факты, включая признаки неплатёжеспособности и условия цены. По ЗОУИТ нужен перечень конкретных зон, актов, границ и ограничений: ни отсутствие записи в ЕГРН, ни близость потенциально опасного объекта сами по себе не дают окончательного ответа. Фразу «использовать здание будет возможно» следует убрать до проверки. [Н4–Н5]</w:t>
      </w:r>
    </w:p>
    <w:p>
      <w:r>
        <w:br w:type="page"/>
      </w:r>
    </w:p>
    <w:p>
      <w:pPr>
        <w:pStyle w:val="Heading1"/>
      </w:pPr>
      <w:r>
        <w:t>Техническое состояние и необходимые вложения</w:t>
      </w:r>
    </w:p>
    <w:p>
      <w:pPr>
        <w:pStyle w:val="Heading2"/>
      </w:pPr>
      <w:r>
        <w:t>Пункты 1 2 и 2 2 Обследование зданий и инженерных систем</w:t>
      </w:r>
    </w:p>
    <w:p>
      <w:r>
        <w:t>Для корпуса Б 1975 год строительства подтверждается старой выпиской. Возраст здания указывает на необходимость обследования, но не доказывает аварийность. Чистота и ремонт на видео не подтверждают несущую способность перекрытий, состояние скрытых сетей или безопасность мансард.</w:t>
      </w:r>
    </w:p>
    <w:p>
      <w:r>
        <w:t>В задании следует назвать оба корпуса и остальные приобретаемые здания. Указать вид обследования, доступные помещения, инструментальные измерения, вскрытия и расчёты, обследование цоколя, состав исполнителей и основания их компетенции. Нужны подписанное заключение, планы и фото дефектов, вывод о допустимой эксплуатации, перечень срочных работ и оценка затрат с объёмами.</w:t>
      </w:r>
    </w:p>
    <w:p>
      <w:r>
        <w:t>По электроснабжению, отоплению, воде и канализации проверить фактическую нагрузку и доступную мощность, технические условия, акты подключения, границы ответственности, договоры и состояние оборудования. Увеличенная загрузка должна подтверждаться расчётом, а не общим тезисом «нагрузка выше».</w:t>
      </w:r>
    </w:p>
    <w:p>
      <w:pPr>
        <w:pStyle w:val="Heading2"/>
      </w:pPr>
      <w:r>
        <w:t>Канализация и общая инфраструктура</w:t>
      </w:r>
    </w:p>
    <w:p>
      <w:r>
        <w:t>Спор по канализации через соседний участок нужно выделить отдельным блоком. Проверить трассу, собственника сети, законность подключения, договор водоотведения, право доступа для ремонта и правовое основание прохождения по чужой земле. Судебный акт должен решать именно нужный вопрос; решение о праве на трубу само по себе не отвечает на все вопросы эксплуатации.</w:t>
      </w:r>
    </w:p>
    <w:p>
      <w:r>
        <w:t>Добавить котельную, газовые сети, проезды, пожарный доступ, стоянки и оборудование автосервиса. Для каждого элемента определить собственника, правовое основание использования и возможность продолжить работу после сделки. Если прав на существующую канализацию получить нельзя, нужен технический вариант замены с ценой и сроком.</w:t>
      </w:r>
    </w:p>
    <w:p>
      <w:pPr>
        <w:pStyle w:val="Heading2"/>
      </w:pPr>
      <w:r>
        <w:t>Пункт 1 3 Пожарная безопасность</w:t>
      </w:r>
    </w:p>
    <w:p>
      <w:r>
        <w:t>Обследование следует сохранить, но расширить результат: допустимое число проживающих по корпусам и этажам; эвакуационные пути и выходы; системы сигнализации и оповещения; противопожарные преграды и инженерное обеспечение. Дополнительный выход нельзя заранее объявлять ни обязательным, ни достаточным без расчётов и осмотра.</w:t>
      </w:r>
    </w:p>
    <w:p>
      <w:r>
        <w:t>У продавца необходимо получить указанную им пожарную ведомость или предписание, акты проверок, проекты, договоры и акты выполненных работ. Свести каждое замечание с фактическим исполнением и оставшейся стоимостью. Сообщённые вложения 10 млн ₽ не подтверждают закрытие замечаний или будущий бюджет. Риск нарушений относится к текущей эксплуатации, а не только к периоду после смены ВРИ.</w:t>
      </w:r>
    </w:p>
    <w:p>
      <w:pPr>
        <w:pStyle w:val="Heading2"/>
      </w:pPr>
      <w:r>
        <w:t>Пункт 1 4 Санитарные условия</w:t>
      </w:r>
    </w:p>
    <w:p>
      <w:r>
        <w:t>Проверить состав и площади жилых комнат, санитарных узлов и общих зон, вентиляцию, водоснабжение, освещение, уборку и обращение с отходами. Исполнитель должен назвать применимые нормы для выбранного сценария, необходимые измерения и лабораторные протоколы. Обследование консультанта не следует выдавать за официальный ответ надзорного органа.</w:t>
      </w:r>
    </w:p>
    <w:p>
      <w:r>
        <w:t>Число 700 проживающих — исходные сведения о текущей загрузке. Общая площадь здания или 5 029,7 м² надземных этажей не доказывают допустимость размещения 700 человек. Итогом проверки должна стать подтверждённая специалистами вместимость с перечнем ограничений и стоимостью устранения нарушений.</w:t>
      </w:r>
    </w:p>
    <w:p>
      <w:r>
        <w:br w:type="page"/>
      </w:r>
    </w:p>
    <w:p>
      <w:pPr>
        <w:pStyle w:val="Heading1"/>
      </w:pPr>
      <w:r>
        <w:t>Финансовые потоки и достоверность дохода</w:t>
      </w:r>
    </w:p>
    <w:p>
      <w:pPr>
        <w:pStyle w:val="Heading2"/>
      </w:pPr>
      <w:r>
        <w:t>Пункты 1 5 и 2 3 Наличные расчёты и аудит</w:t>
      </w:r>
    </w:p>
    <w:p>
      <w:r>
        <w:t>Утверждение «продавец ведёт двойную бухгалтерию» не обосновано приведённым в КП фактом наличных и безналичных расчётов. Корректный вывод: полнота финансовых потоков и их отражение в учёте пока не сверены. Наличные могут проверяться по кассовым документам, данным ККТ и ОФД при их применении, договорам, начислениям и актам сверки.</w:t>
      </w:r>
    </w:p>
    <w:p>
      <w:r>
        <w:t>Проверять нужно продавца в части платежей и прав, ООО «Комплекс Малаховский», ИП Трофимова А. Е. и прочих выявленных получателей денег. Следует проследить путь оплаты клиента до выплаты владельцу, исключить повторный учёт переводов и установить, какие договоры и доходы сохранятся при вашей собственной команде управления.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4932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Показатель по ОСВ за 01.01–06.10.2026</w:t>
            </w:r>
          </w:p>
        </w:tc>
        <w:tc>
          <w:tcPr>
            <w:tcW w:type="dxa" w:w="2466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ООО</w:t>
            </w:r>
          </w:p>
        </w:tc>
        <w:tc>
          <w:tcPr>
            <w:tcW w:type="dxa" w:w="2466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ИП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Оплаты покупателей за 279 дней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49 863 495,08 ₽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17 599 111,81 ₽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Арифметический эквивалент за 30 дней</w:t>
            </w:r>
          </w:p>
        </w:tc>
        <w:tc>
          <w:tcPr>
            <w:tcW w:type="dxa" w:w="246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5 361 666,14 ₽</w:t>
            </w:r>
          </w:p>
        </w:tc>
        <w:tc>
          <w:tcPr>
            <w:tcW w:type="dxa" w:w="246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1 892 377,61 ₽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Все выплаты по кредиту счёта 51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55 789 260,51 ₽</w:t>
            </w:r>
          </w:p>
        </w:tc>
        <w:tc>
          <w:tcPr>
            <w:tcW w:type="dxa" w:w="24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27 103 988,82 ₽</w:t>
            </w:r>
          </w:p>
        </w:tc>
      </w:tr>
    </w:tbl>
    <w:p>
      <w:pPr>
        <w:spacing w:after="0"/>
      </w:pPr>
    </w:p>
    <w:p>
      <w:r>
        <w:t>Это данные бухгалтерских ведомостей, а не независимо проверенные банковские выписки. Фактической помесячной разбивки нет; у ИП ведомость ограничена одним счётом. Эквивалент двух потоков 7 254 043,75 ₽ за 30 дней не является подтверждённой месячной выручкой всей базы: возможны авансы, иные объекты и расчёты связанных лиц.</w:t>
      </w:r>
    </w:p>
    <w:p>
      <w:r>
        <w:t>Из 27 103 988,82 ₽ выплат ИП 14 673 684 ₽ указаны как личные средства предпринимателя. Конечный получатель и связь с собственником недвижимости не установлены. Эти суммы не подтверждают обещанные 5 млн ₽ владельцу каждый месяц. Платежи со счёта и изменение его остатка не равняются расходам и чистой прибыли.</w:t>
      </w:r>
    </w:p>
    <w:p>
      <w:pPr>
        <w:pStyle w:val="Heading2"/>
      </w:pPr>
      <w:r>
        <w:t>Как проверять предполагаемую наличную часть</w:t>
      </w:r>
    </w:p>
    <w:p>
      <w:r>
        <w:t>700 × 13 500 = 9 450 000 ₽ за 30 дней. При 5 500 000 ₽ оплаты за тот же период на счёт разница равна 3 950 000 ₽. За 31 день при посуточной ставке 450 ₽ разница была бы 4 265 000 ₽; при фиксированной календарной месячной плате применяется 3 950 000 ₽.</w:t>
      </w:r>
    </w:p>
    <w:p>
      <w:r>
        <w:t>Назвать эту разницу полученной наличностью можно только после сверки загрузки, начислений, полной оплаты, скидок, долгов, авансов и других каналов. Указанные 5,5 млн ₽ — ваш пример, а не найденная банковская сумма за август. Наличные, затем внесённые в банк, нельзя считать второй раз.</w:t>
      </w:r>
    </w:p>
    <w:p>
      <w:pPr>
        <w:pStyle w:val="Heading2"/>
      </w:pPr>
      <w:r>
        <w:t>Налоги и поправки к прежним выводам</w:t>
      </w:r>
    </w:p>
    <w:p>
      <w:r>
        <w:t>Кадастровые стоимости в старых выписках: Б 43 056 438,09 ₽, участок 52 447 873,66 ₽. Это не годовые налоги и не цена всей базы. Для расчёта нужны актуальные базы, состав объектов, покупатель и его режим, применимые ставки, перечни и льготы. Долги следует раскрыть отдельно по лицам и обязательствам. [Н6]</w:t>
      </w:r>
    </w:p>
    <w:p>
      <w:r>
        <w:t>В записке от 09.10 формулировку «подтверждённая выручка 7,25 млн ₽» следует читать с ограничениями выше. Разница около 2,2 млн ₽ относится к 9,45 млн ₽; до 9 млн ₽ не хватает 1 745 956,25 ₽. Простая разница не доказывает наличие скрытой кассы.</w:t>
      </w:r>
    </w:p>
    <w:p>
      <w:r>
        <w:br w:type="page"/>
      </w:r>
    </w:p>
    <w:p>
      <w:pPr>
        <w:pStyle w:val="Heading1"/>
      </w:pPr>
      <w:r>
        <w:t>Стоимость предложения и ожидаемые результаты</w:t>
      </w:r>
    </w:p>
    <w:p>
      <w:r>
        <w:t>Сумма 300–550 тыс. ₽ не равна арифметической сумме всех заявленных блоков. Ниже расчёт при одном дне бухгалтера. Справка и оценочное заключение считаются альтернативами; эту трактовку следует подтвердить исполнителю. [КП, с. 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4592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Комплектация</w:t>
            </w:r>
          </w:p>
        </w:tc>
        <w:tc>
          <w:tcPr>
            <w:tcW w:type="dxa" w:w="2636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Без кадастрового выезда</w:t>
            </w:r>
          </w:p>
        </w:tc>
        <w:tc>
          <w:tcPr>
            <w:tcW w:type="dxa" w:w="2636"/>
            <w:vAlign w:val="center"/>
            <w:shd w:fill="183E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С выездом за 30 тыс. 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Юристы + технический блок + 1 день бухгалтера + справка</w:t>
            </w:r>
          </w:p>
        </w:tc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335–560 тыс. ₽</w:t>
            </w:r>
          </w:p>
        </w:tc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365–590 тыс. 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Те же работы + оценочное заключение вместо справки</w:t>
            </w:r>
          </w:p>
        </w:tc>
        <w:tc>
          <w:tcPr>
            <w:tcW w:type="dxa" w:w="26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365–595 тыс. ₽</w:t>
            </w:r>
          </w:p>
        </w:tc>
        <w:tc>
          <w:tcPr>
            <w:tcW w:type="dxa" w:w="26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395–625 тыс. ₽</w:t>
            </w:r>
          </w:p>
        </w:tc>
      </w:tr>
    </w:tbl>
    <w:p>
      <w:pPr>
        <w:spacing w:after="0"/>
      </w:pPr>
    </w:p>
    <w:p>
      <w:r>
        <w:t>Первая строка: 110–150 + 180–360 + 25 + 20–25 тыс. ₽. Вторая: 110–150 + 180–360 + 25 + 50–60 тыс. ₽. Каждый дополнительный день бухгалтера добавляет 25 тыс. ₽. Скидка или сокращённая комплектация могут объяснить общий диапазон, но должны быть указаны явно.</w:t>
      </w:r>
    </w:p>
    <w:p>
      <w:r>
        <w:t>Эти суммы относятся к объёму исходного КП на один корпус. Они не являются согласованной ценой проверки всей базы. По одному предложению нельзя определить, насколько ставки выше или ниже рынка. До договора нужны сопоставимые предложения с одинаковым перечнем объектов и результатов.</w:t>
      </w:r>
    </w:p>
    <w:p>
      <w:pPr>
        <w:pStyle w:val="Heading2"/>
      </w:pPr>
      <w:r>
        <w:t>Юридические работы за 110–150 тыс рублей</w:t>
      </w:r>
    </w:p>
    <w:p>
      <w:r>
        <w:t>Задание должно заканчиваться письменным заключением по каждому объекту, перечнем рисков, реестром проверенных документов, номерами судебных дел и двумя вариантами законной эксплуатации. Уточнить, входят ли запросы и получение ответов либо только консультация, а также сколько стоят последующие суды, кадастровые работы и регистрация.</w:t>
      </w:r>
    </w:p>
    <w:p>
      <w:pPr>
        <w:pStyle w:val="Heading2"/>
      </w:pPr>
      <w:r>
        <w:t>Технические работы за 180–360 тыс рублей</w:t>
      </w:r>
    </w:p>
    <w:p>
      <w:r>
        <w:t>В КП перечислены четыре направления обследования, однако нет количества зданий, объёма измерений, расчётов, лабораторных работ и конечных документов. Нужно зафиксировать состав специалистов, включённые выезды и цену по каждому направлению. Формулировка «в зависимости от объёма» оставляет бюджет открытым.</w:t>
      </w:r>
    </w:p>
    <w:p>
      <w:pPr>
        <w:pStyle w:val="Heading2"/>
      </w:pPr>
      <w:r>
        <w:t>Бухгалтер за 25 тыс рублей в день</w:t>
      </w:r>
    </w:p>
    <w:p>
      <w:r>
        <w:t>Зафиксировать период, всех участников и счета, число дней, предельную сумму, перечень входных данных и форму результата. Один день может быть этапом первичной диагностики; по КП нельзя заключить, что его достаточно для полного результата. Если требуется именно аудит с аудиторским заключением, отдельно согласовать предмет и соответствующего исполнителя. Для инвестиционного решения нужен прежде всего отчёт о проверке денежных потоков и дохода объекта. [Н7]</w:t>
      </w:r>
    </w:p>
    <w:p>
      <w:pPr>
        <w:pStyle w:val="Heading2"/>
      </w:pPr>
      <w:r>
        <w:t>Справка или отчёт об оценке</w:t>
      </w:r>
    </w:p>
    <w:p>
      <w:r>
        <w:t>Уточнить, что подразумевается под «оценочным заключением». Для банковского финансирования предварительно согласовать с банком состав залога, формат отчёта и требования к оценщику. Справка для переговоров и отчёт об оценке по установленным требованиям могут решать разные задачи. Оценивать необходимо весь приобретаемый состав, отдельно раскрывая неоформленные площади и ограничения. [Н8]</w:t>
      </w:r>
    </w:p>
    <w:p>
      <w:r>
        <w:t>В договоре отдельно указать налоги в цене, расходы на выписки, пошлины, транспорт, повторные выезды, вскрытия и восстановление, лабораторию, участие в судах, проекты и регистрацию. Проверка рисков и фактическое устранение нарушений не должны смешиваться в одном обещании «под ключ».</w:t>
      </w:r>
    </w:p>
    <w:p>
      <w:r>
        <w:br w:type="page"/>
      </w:r>
    </w:p>
    <w:p>
      <w:pPr>
        <w:pStyle w:val="Heading1"/>
      </w:pPr>
      <w:r>
        <w:t>Что согласовать с исполнителем</w:t>
      </w:r>
    </w:p>
    <w:p>
      <w:pPr>
        <w:pStyle w:val="Heading2"/>
      </w:pPr>
      <w:r>
        <w:t>Порядок работы до покупки</w:t>
      </w:r>
    </w:p>
    <w:p>
      <w:r>
        <w:t>Сначала уточнить весь состав продажи и собрать свежие реестровые, судебные, земельные и финансовые документы. Выполнить первичный осмотр на очевидные ограничения. При непреодолимом дефекте права, доступа или использования остановить дальнейшие расходы до решения покупателя.</w:t>
      </w:r>
    </w:p>
    <w:p>
      <w:r>
        <w:t>Затем выполнить согласованные обследования, финансовую сверку и оценку. Итог должен позволять принять решение по цене и условиям сделки: какое имущество и устойчивый денежный поток приобретаются, какие нарушения устранимы, сколько стоит их устранение и когда возможна законная эксплуатация.</w:t>
      </w:r>
    </w:p>
    <w:p>
      <w:r>
        <w:t>До аванса и подписания договора покупки согласовать с юристом условия возврата платежа, перечень документов и действий продавца до расчёта, порядок проверки регистрации, способы защиты покупателя при раскрытии дефектов и условия продолжения договоров с клиентами и арендаторами.</w:t>
      </w:r>
    </w:p>
    <w:p>
      <w:pPr>
        <w:pStyle w:val="Heading2"/>
      </w:pPr>
      <w:r>
        <w:t>Результаты которые необходимо включить в договор</w:t>
      </w:r>
    </w:p>
    <w:p>
      <w:r>
        <w:t>1. Реестр всех объектов, помещений, сетей, оборудования и прав с указанием собственника, состояния регистрации, обременений и включения в продажу.</w:t>
      </w:r>
    </w:p>
    <w:p>
      <w:r>
        <w:t>2. Юридическое заключение по правам и торгам; проверка продавца и полномочий представителей; судебная справка по мансардам и канализации с документами.</w:t>
      </w:r>
    </w:p>
    <w:p>
      <w:r>
        <w:t>3. Вывод по двум сценариям размещения, действующим ПЗЗ и ограничениям участка; план оформления реконструкции и обновления ЕГРН с этапами и расходами.</w:t>
      </w:r>
    </w:p>
    <w:p>
      <w:r>
        <w:t>4. Техническое, пожарное и санитарное заключения с применимыми требованиями, допустимой вместимостью, дефектами, объёмами работ и бюджетом.</w:t>
      </w:r>
    </w:p>
    <w:p>
      <w:r>
        <w:t>5. Помесячная сверка начислений и оплаты, наличных и безналичных потоков, расходов, капитальных работ и выплат владельцу; исключение внутренних переводов.</w:t>
      </w:r>
    </w:p>
    <w:p>
      <w:r>
        <w:t>6. Оценка всего состава покупки и денежных потоков после смены управления; отдельный перечень неустранённых рисков, влияющих на цену.</w:t>
      </w:r>
    </w:p>
    <w:p>
      <w:r>
        <w:t>7. Календарный план, фиксированная комплектация, предел оплаты и порядок письменного согласования дополнительных работ; критерии приёмки каждого результата.</w:t>
      </w:r>
    </w:p>
    <w:p>
      <w:pPr>
        <w:pStyle w:val="Heading2"/>
      </w:pPr>
      <w:r>
        <w:t>Текст ответа автору предложения</w:t>
      </w:r>
    </w:p>
    <w:p>
      <w:r>
        <w:t>Спасибо за коммерческое предложение. Просим переработать его применительно к покупке всей базы на ул. Маяковского, 18, с двумя корпусами размещения, складами, гаражами, котельной, земельным участком и используемой инфраструктурой. Просим приложить полный перечень проверяемого имущества.</w:t>
      </w:r>
    </w:p>
    <w:p>
      <w:r>
        <w:t>По корпусу Б в имеющейся выписке уже указаны «жилое» и «здание — общежитие». Просим пояснить предлагаемую процедуру изменения правового режима, отдельно от оформления увеличенной площади и проверки допустимости фактического размещения работников и посуточных гостей.</w:t>
      </w:r>
    </w:p>
    <w:p>
      <w:r>
        <w:t>Просим выделить проверку мансард обоих корпусов, канализации через соседний участок, пожарных замечаний и финансовых потоков ООО «Комплекс Малаховский» и ИП Трофимова. Утверждение о двойной бухгалтерии просим заменить на вопрос о полноте раскрытия и учёта поступлений.</w:t>
      </w:r>
    </w:p>
    <w:p>
      <w:r>
        <w:t>Просим направить перечень результатов, сроки и окончательную смету по этапам с налогами и дополнительными расходами. Уточните количество дней бухгалтера, содержание оценки и объясните расхождение итога 300–550 тыс. ₽ с суммой блоков. После этого сможем согласовать комплектацию и договор.</w:t>
      </w:r>
    </w:p>
    <w:p>
      <w:r>
        <w:br w:type="page"/>
      </w:r>
    </w:p>
    <w:p>
      <w:pPr>
        <w:pStyle w:val="Heading1"/>
      </w:pPr>
      <w:r>
        <w:t>Источники и границы выводов</w:t>
      </w:r>
    </w:p>
    <w:p>
      <w:pPr>
        <w:pStyle w:val="Heading2"/>
      </w:pPr>
      <w:r>
        <w:t>Документы объекта</w:t>
      </w:r>
    </w:p>
    <w:p>
      <w:r>
        <w:t>КП — «Коммерческое_предложение_здание_Малаховка.docx», три страницы. Проверены весь текст, таблицы и структура файла; комментариев, отслеживаемых исправлений и вложенных объектов нет. Ссылки на страницы в разборе соответствуют печатной версии Word.</w:t>
      </w:r>
    </w:p>
    <w:p>
      <w:r>
        <w:t>ЕГРН — «Общежитие Лит Б,Б1 (3).pdf», с. 1, и «З.У (2).pdf», с. 1; выписки 2025 года. Они подтверждают сведения на дату выдачи, а не состояние регистрационных записей на 15.10.2026.</w:t>
      </w:r>
    </w:p>
    <w:p>
      <w:r>
        <w:t>Технические планы корпусов А и Б 2025 года: площадь А и цоколя — PDF-с. 7, 20; площадь Б и мансарды — PDF-с. 5, 20. ГПЗУ «102653514 Кислицин 77.pdf», PDF-с. 15–16, использован для состава девяти объектов. Новая регистрация площадей этими документами не доказана.</w:t>
      </w:r>
    </w:p>
    <w:p>
      <w:r>
        <w:t>ОСВ счёта 51 ООО «Комплекс Малаховский» и ИП Трофимова за 01.01–06.10.2026; аналитические материалы от 07.10 и 09.10.2026. Дубли ОСВ не суммировались. Банковские выписки с деталями операций в использованном комплекте отсутствуют.</w:t>
      </w:r>
    </w:p>
    <w:p>
      <w:r>
        <w:t>Сведения о покупке всей базы за 330 млн ₽, 700 проживающих, тарифе 13 500 ₽ за 30 дней, наличных расчётах, неиспользуемых подвалах, пожарных работах и планируемых судах — сообщения покупателя и сведения продавца в истории проекта. Они требуют документальной сверки в указанной части.</w:t>
      </w:r>
    </w:p>
    <w:p>
      <w:pPr>
        <w:pStyle w:val="Heading2"/>
      </w:pPr>
      <w:r>
        <w:t>Нормативные источники</w:t>
      </w:r>
    </w:p>
    <w:p>
      <w:pPr>
        <w:spacing w:after="40"/>
      </w:pPr>
      <w:r>
        <w:t>Н1  Классификатор ВРИ земельных участков. Приказ Росреестра П/0412 от 10.11.2020. Ссылка на базовую публикацию; при выборе процедуры требуется действующая редакция и ПЗЗ участка.</w:t>
      </w:r>
    </w:p>
    <w:p>
      <w:r>
        <w:rPr>
          <w:color w:val="373737"/>
          <w:sz w:val="17"/>
        </w:rPr>
        <w:t>https://publication.pravo.gov.ru/Document/View/0001202012160040</w:t>
      </w:r>
    </w:p>
    <w:p>
      <w:pPr>
        <w:spacing w:after="40"/>
      </w:pPr>
      <w:r>
        <w:t>Н2  Роспотребнадзор. Гостиничные услуги и Правила № 1912, действующие с 01.03.2026. Разъяснение от 13.05.2026.</w:t>
      </w:r>
    </w:p>
    <w:p>
      <w:r>
        <w:rPr>
          <w:color w:val="373737"/>
          <w:sz w:val="17"/>
        </w:rPr>
        <w:t>https://zpp.rospotrebnadzor.ru/news/federal/574054</w:t>
      </w:r>
    </w:p>
    <w:p>
      <w:pPr>
        <w:spacing w:after="40"/>
      </w:pPr>
      <w:r>
        <w:t>Н3 и Н5  Пленум Верховного Суда РФ от 12.12.2023 № 44. Самовольная постройка, реконструкция и ограничения территории, в том числе п. 21 о ЗОУИТ.</w:t>
      </w:r>
    </w:p>
    <w:p>
      <w:r>
        <w:rPr>
          <w:color w:val="373737"/>
          <w:sz w:val="17"/>
        </w:rPr>
        <w:t>https://www.vsrf.ru/documents/all/33244</w:t>
      </w:r>
    </w:p>
    <w:p>
      <w:pPr>
        <w:spacing w:after="40"/>
      </w:pPr>
      <w:r>
        <w:t>Н4  Пленум ВАС РФ от 23.12.2010 № 63. Основания и периоды оспаривания сделок должника.</w:t>
      </w:r>
    </w:p>
    <w:p>
      <w:r>
        <w:rPr>
          <w:color w:val="373737"/>
          <w:sz w:val="17"/>
        </w:rPr>
        <w:t>https://www.vsrf.ru/documents/all/18342</w:t>
      </w:r>
    </w:p>
    <w:p>
      <w:pPr>
        <w:spacing w:after="40"/>
      </w:pPr>
      <w:r>
        <w:t>Н6  ФНС России. Налог на имущество физических лиц и земельный налог. База и ставки зависят от объекта и применимых правил.</w:t>
      </w:r>
    </w:p>
    <w:p>
      <w:r>
        <w:rPr>
          <w:color w:val="373737"/>
          <w:sz w:val="17"/>
        </w:rPr>
        <w:t>https://www.nalog.gov.ru/rn77/taxation/taxes/nnifz/</w:t>
        <w:br/>
        <w:t>https://www.nalog.gov.ru/rn77/taxation/taxes/zemelny/zem_fl_ip/</w:t>
      </w:r>
    </w:p>
    <w:p>
      <w:pPr>
        <w:spacing w:after="40"/>
      </w:pPr>
      <w:r>
        <w:t>Н7  Федеральный закон № 307-ФЗ, статья 1. Аудиторская деятельность. Текст нормы в правовой базе КонсультантПлюс.</w:t>
      </w:r>
    </w:p>
    <w:p>
      <w:r>
        <w:rPr>
          <w:color w:val="373737"/>
          <w:sz w:val="17"/>
        </w:rPr>
        <w:t>https://www.consultant.ru/document/cons_doc_LAW_83311/5662200f71fec9b8ab1a6e0615896613d3852b5a/</w:t>
      </w:r>
    </w:p>
    <w:p>
      <w:pPr>
        <w:spacing w:after="40"/>
      </w:pPr>
      <w:r>
        <w:t>Н8  Федеральный закон № 135-ФЗ, статья 11. Требования к отчёту об оценке. Текст нормы в правовой базе КонсультантПлюс.</w:t>
      </w:r>
    </w:p>
    <w:p>
      <w:r>
        <w:rPr>
          <w:color w:val="373737"/>
          <w:sz w:val="17"/>
        </w:rPr>
        <w:t>https://www.consultant.ru/document/cons_doc_LAW_19586/dfcce87d285e6c29b2f942085fc0c728f8e8a366/</w:t>
      </w:r>
    </w:p>
    <w:p>
      <w:pPr>
        <w:pStyle w:val="Heading2"/>
      </w:pPr>
      <w:r>
        <w:t>Какие ответы пока нельзя считать полученными</w:t>
      </w:r>
    </w:p>
    <w:p>
      <w:r>
        <w:t>Допустимость работы при нынешнем режиме земли; регистрация увеличенной площади; результат судебных процедур; допустимая вместимость; законность канализации; полный остаточный бюджет; фактическая помесячная выручка и 5 млн ₽ владельцу; точная цена проверки всего комплекса. КП перечисляет часть этих задач, но не содержит готовых положительных заключений.</w:t>
      </w:r>
    </w:p>
    <w:p>
      <w:r>
        <w:t>Предлагаемая проверка нужна до инвестиционного решения. Принимать её как гарантию возможности узаконить и эксплуатировать весь комплекс либо как подтверждение его доходности пока оснований нет.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Pages>7</Pages>
</Properties>
</file>

<file path=docProps/core.xml><?xml version="1.0" encoding="utf-8"?>
<cp:coreProperties xmlns:cp="http://schemas.openxmlformats.org/package/2006/metadata/core-properties" xmlns:dc="http://purl.org/dc/elements/1.1/">
  <dc:title>Malakhovka due diligence review</dc:title>
</cp:coreProperties>
</file>