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Исследование рынка пансионатов для пожилых в Малаховке</w:t>
      </w:r>
    </w:p>
    <w:p>
      <w:r>
        <w:t>Малаховка, улица Чайковского, дом 1. Дата исследования 16 сентября 2026 года. Для управляющего Михаила Яковлевича Плутчика. Рабочий материал для решения об инвестициях.</w:t>
      </w:r>
    </w:p>
    <w:p>
      <w:r/>
      <w:r>
        <w:rPr>
          <w:b/>
        </w:rPr>
        <w:t>Вывод.</w:t>
      </w:r>
      <w:r>
        <w:t xml:space="preserve"> Бизнес ухода за пожилыми с проживанием существует и представлен в самой Малаховке, соседних городах и Москве. Однако ни наличие конкурентов, ни численность пожилого населения не доказывают свободный платежеспособный спрос на новый объект. Для рассматриваемого здания решение об открытии преждевременно: сначала необходимо подтвердить возможность использования под пансионат, законную площадь, пожарную безопасность и вместимость. Экономику следует проверять в среднем ценовом сегменте с официальным сменным штатом. Бюджетные рекламные тарифы не являются подходящей основой себестоимости.</w:t>
      </w:r>
    </w:p>
    <w:p>
      <w:r>
        <w:t>Цель заказчика уточнена: положительный ежемесячный денежный поток к десятому месяцу после открытия. Возврат вложений за десять месяцев не требуется. Дата открытия, бюджет и условия аренды не предоставлены.</w:t>
      </w:r>
    </w:p>
    <w:p>
      <w:pPr>
        <w:pStyle w:val="Heading1"/>
      </w:pPr>
      <w:r>
        <w:t>1 Метод и границы исследования</w:t>
      </w:r>
    </w:p>
    <w:p>
      <w:r>
        <w:t>Проведены чтение технических характеристик трех исходных DOCX, просмотр двадцати фотографий и двадцати четырех контрольных кадров из восьми видео, проверка составов двух архивов, изучение предложений четырнадцати объектов и нормативных источников. В конце приведен реестр публичных источников. Персональные сведения правообладателей и подписи в отчет не включены.</w:t>
      </w:r>
    </w:p>
    <w:p>
      <w:r>
        <w:t>Просмотр видео выполнен по кадрам на 15, 50 и 85 процентах длительности каждого ролика. Это позволяет описать видимое состояние, но не заменяет обследование конструкций, инженерных систем или полный просмотр с расшифровкой звука. Составы архивов повторяют имена предоставленных фото и видео; равенство файлов по контрольным суммам не проверялось.</w:t>
      </w:r>
    </w:p>
    <w:p>
      <w:r>
        <w:t>Публичная цена подтверждает предложение на сайте, но не реальный средний чек, загрузку, качество, законность работы или наличие свободных мест. Звонки, интервью, выездное обследование, рекламный тест и запросы коммерческих предложений не выполнялись. Они включены в план следующей проверки.</w:t>
      </w:r>
    </w:p>
    <w:p>
      <w:pPr>
        <w:pStyle w:val="Heading1"/>
      </w:pPr>
      <w:r>
        <w:t>2 Что известно об объекте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832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Основание и ограничение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Здание по выписке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903,8 м²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Нежилое, техникум, два этажа. Выписка не подтверждает завершение реконструкции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Участок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3 390 м²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Земли населенных пунктов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ВРИ участка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Административное и амбулаторное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Использование под дом социального обслуживания пока не подтверждено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Площадь после реконструкции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1 843,1 м²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Проект АР 2024 года, а не акт ввода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Площадь помещений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1 665,2 м²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Показатель пояснительной записки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Этажи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Подвал, первый, второй, мансарда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Высота 13,54 м, габариты в осях 33,59 × 25,49 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Пожарный класс в АР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Ф3.4, С1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Встречаются III и IV степени огнестойкости. Нужна сверка проектировщиком</w:t>
            </w:r>
          </w:p>
        </w:tc>
      </w:tr>
    </w:tbl>
    <w:p>
      <w:pPr>
        <w:spacing w:after="20"/>
      </w:pPr>
    </w:p>
    <w:p>
      <w:r>
        <w:t>Общие площади уровней в АР: 168,5 + 567,5 + 570,5 + 536,6 = 1 843,1 м². Площади помещений по экспликациям: 143,7 + 515,5 + 486,0 + 519,9 = 1 665,1 м². Расхождение 0,1 м² с общим показателем помещений вероятно связано с округлением, но должно быть проверено. Общую площадь нельзя подменять площадью спален.</w:t>
      </w:r>
    </w:p>
    <w:p>
      <w:r>
        <w:t>На фото видны желтые фасады с белыми деталями, несколько крыльев и внутренний двор. На части фасадов стоят леса. Территория не благоустроена. На видеокадрах внутри видны строительные материалы, незавершенные полы и потолки, открытые конструкции и коммуникации. Мансардные помещения имеют скаты. Готовность к приему жителей и работоспособность лифта, сигнализации, вентиляции и прочих систем по материалам не установлены.</w:t>
      </w:r>
    </w:p>
    <w:p>
      <w:r>
        <w:t>В папке не обнаружены договор аренды, коммерческое предложение собственника, смета доведения под пансионат, поэтажный проект размещения пожилых, документ о вводе реконструкции и подтверждение законности увеличенной площади. Отсутствие в переданном комплекте не означает, что этих документов нет у собственника.</w:t>
      </w:r>
    </w:p>
    <w:p>
      <w:pPr>
        <w:pStyle w:val="Heading1"/>
      </w:pPr>
      <w:r>
        <w:t>3 Есть ли потребность и кто будет платить</w:t>
      </w:r>
    </w:p>
    <w:p>
      <w:r>
        <w:t>Официальный СФР сообщал о более чем 656 тысячах получателей выплат старше 80 лет в Москве и Московской области на 29 сентября 2025 года. Это существенная возрастная группа, но часть людей живет самостоятельно, часть получает семейный или государственный уход. Нельзя превращать это число в количество клиентов частных пансионатов. [S16]</w:t>
      </w:r>
    </w:p>
    <w:p>
      <w:r>
        <w:t>Другой показатель СФР — более 4,7 миллиона получателей страховых пенсий в Москве и области, затронутых индексацией января 2026 года. Он включает разные категории пенсий и не равен числу потенциальных постояльцев. В оценку объема продаж нового объекта этот показатель напрямую не включается. [S17]</w:t>
      </w:r>
    </w:p>
    <w:p>
      <w:r>
        <w:t>Плательщиком часто выступает взрослый ребенок или другой родственник. Его решение определяют безопасность, понятная стоимость, доверие к персоналу, доступность посещений и соответствие тяжести состояния возможностям учреждения. Размер пенсии пожилого человека сам по себе не доказывает способность семьи платить 100–140 тысяч рублей в месяц.</w:t>
      </w:r>
    </w:p>
    <w:p>
      <w:r>
        <w:t>Для объекта целесообразно исследовать три зоны привлечения: Малаховка и Люберцы; Жуковский и Раменское; юго-восток Москвы. Это рабочие географические гипотезы, а не рассчитанные зоны транспортной доступности. Точные поездки и маршруты должны быть проверены на месте.</w:t>
      </w:r>
    </w:p>
    <w:p>
      <w:r>
        <w:t>Приоритетные запросы: постоянный бытовой уход при умеренной зависимости; временное размещение на период отпуска или болезни родственников; сопровождение после выписки из больницы в пределах возможностей социального учреждения. Клиенты с потребностью в интенсивном лечении, постоянных медицинских манипуляциях или индивидуальном наблюдении требуют отдельной медицинской модели и более высокого бюджета.</w:t>
      </w:r>
    </w:p>
    <w:p>
      <w:r>
        <w:t>Альтернативы пансионату — сиделка дома, помощь родственников, дневной центр, государственное социальное обслуживание и услуги долговременного ухода. Поэтому конкурентами являются не только другие здания с проживанием.</w:t>
      </w:r>
    </w:p>
    <w:p>
      <w:pPr>
        <w:pStyle w:val="Heading1"/>
      </w:pPr>
      <w:r>
        <w:t>4 Конкуренты в Москве и Московской области</w:t>
      </w:r>
    </w:p>
    <w:p>
      <w:r>
        <w:t>Тарифы проверены по открытым страницам 16.09.2026. Эквивалент месяца получают умножением суточной цены на 30; это не средний фактический чек. Наличие медицинских обещаний на сайте не подтверждает лицензию. Некоторые действующие предложения рекламируют 4–5-местные спальни: это не разрешение применять такую планировку в новом проекте.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832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Объект и адрес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Опубликованная цена за сутки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Существенная оговорка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Виктория, Малаховская 46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1 150–2 000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 шапке 1 350; таблица противоречит шапке. Ограниченные социальные места. [S01]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Виктория, Малаховка, Заречная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От 1 350 ₽; двухместное 1 600–2 000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Номер дома отсутствует; тариф зависит от помощи. [S02]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Senior Group Малаховка, Константинова 42/42А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Двухместное 8 500–13 000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Медицинский премиум. Дневное пребывание нельзя считать круглосуточным. [S03]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Раменское, Гражданская 47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1 200–1 500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Различия заголовка и таблицы; летняя акция требует перепроверки. [S04]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Забота Раменский, д. Редькино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3 200–4 350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Двухместное 3 600 или 3 950 в зависимости от ухода. [S05]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Забота Золотой возраст, д. Капустино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4 000–7 850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Комнаты 1–3 человека, повышенный комфорт; полный адрес уточняется. [S06]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Забота Новокосино, Салтыковка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2 600–4 250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Двухместное 2 800–3 150; состав пакета проверить. [S07]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Опека Алтуфьевский, Москва, Лескова 6Б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От 5 100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Цена зависит от комнаты; часть цен акционная. [S08]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Опека Щукинский 2, Москва, Габричевского 5, корпус 10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Акция от 4 900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Постоянный и акционный тарифы различаются. [S09]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Опека Красногорский, Ивановское 1, строение 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5 600–12 900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Загородный сетевой объект, более высокий сегмент. [S10]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Опека Цветы, Москва, Покровское 200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От 5 500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Заявлены 2 га территории; отдельные медицинские пакеты. [S11]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Виктория, пос. Денежниково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От 1 350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Минимум ограничен социальными местами. [S12]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Дом Долголетие, Малаховка, 2-я Красная Заря 62А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750 или 900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Актуальность не установлена. В расчет как надежную текущую цену не брать. [S13]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Помощь близких, Малаховка, Чайковского 23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1 200 / 1 400 / 1 700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Единица расчета и сочетание проживания с уходом недостаточно ясны. [S14]</w:t>
            </w:r>
          </w:p>
        </w:tc>
      </w:tr>
    </w:tbl>
    <w:p>
      <w:pPr>
        <w:spacing w:after="20"/>
      </w:pPr>
    </w:p>
    <w:p>
      <w:r>
        <w:t>У Опеки сентябрьская акция ограничена датой новых заездов, доступными местами и длительностью специальной цены. Переносить ее на постоянную годовую выручку нельзя. [S15]</w:t>
      </w:r>
    </w:p>
    <w:p>
      <w:r>
        <w:t>Выборка показывает минимум три разных рынка. Местные бюджетные объявления формируют низкое ценовое ожидание. Сетевой социальный уход предлагает существенно более высокие тарифы. Медицинский премиум имеет иной состав услуг и персонала. Новый объект не получает премиальную цену автоматически благодаря красивому фасаду.</w:t>
      </w:r>
    </w:p>
    <w:p>
      <w:r>
        <w:t>Для финансовой проверки будут использоваться модельные средние тарифы 3 300–3 900 ₽/сутки и отдельные стресс-тесты более низкой цены. Ни один из этих тарифов не объявляется подтвержденной готовностью клиентов платить. При двухместном размещении новый пансионат с тарифом около 3 900 ₽ должен объяснить преимущество перед Раменским и Новокосино: доступность для семьи, малые жилые группы, качество бытового ухода и прозрачные условия.</w:t>
      </w:r>
    </w:p>
    <w:p>
      <w:pPr>
        <w:pStyle w:val="Heading1"/>
      </w:pPr>
      <w:r>
        <w:t>5 Как доказать спрос до крупных вложений</w:t>
      </w:r>
    </w:p>
    <w:p>
      <w:r>
        <w:t>Предлагается четырех–шестинедельный тест, который пока не выполнялся. Сначала подтвердить принципиальную допустимость объекта, затем подготовить честное описание будущей услуги, комнат, даты готовности и полного платежа. Не рекламировать действующий пансионат до открытия.</w:t>
      </w:r>
    </w:p>
    <w:p>
      <w:r>
        <w:t>Провести 30–40 интервью с потенциальными плательщиками из трех зон привлечения. Разделить потребности в бытовом и медицинском уходе. Проверить варианты комнаты и фактическую готовность оплачивать весь пакет, включая исключенные лекарства и индивидуальные расходники.</w:t>
      </w:r>
    </w:p>
    <w:p>
      <w:r>
        <w:t>Получить сопоставимые письменные калькуляции от 8–10 конкурентов: один и тот же профиль человека, двухместное размещение, 30 дней, одинаковый объем помощи. Проверить доплаты, депозит, условия возврата и расторжения. Контакты с операторами и семьями организует уполномоченный сотрудник.</w:t>
      </w:r>
    </w:p>
    <w:p>
      <w:r>
        <w:t>Рекламный тест оценивается по квалифицированным обращениям и согласованным просмотрам, а не по кликам. Рабочая гипотеза бюджета 150–250 тысяч рублей на 4–6 недель требует отдельного утверждения перед расходованием. В этом исследовании реклама не запускалась и деньги не тратились.</w:t>
      </w:r>
    </w:p>
    <w:p>
      <w:r>
        <w:t>Воронка должна покрывать прирост жителей и отток. Например, старт с 12 и цель 52 человека к концу десятого месяца при условном оттоке 5% в месяц требуют примерно 60 платных заселений за первые десять месяцев, включая замену выбывающих. При конверсии 20% это около 300 квалифицированных обращений за период. Указанные конверсии и отток являются проверяемыми гипотезами. Финансовая выручка считается по среднему числу жителей месяца, а персонал — по ожидаемому максимуму.</w:t>
      </w:r>
    </w:p>
    <w:p>
      <w:r>
        <w:t>Критерий продолжения: тест должен подтвердить тариф и стоимость привлечения, которые дают положительный денежный результат в модели при подтвержденной вместимости. Если для заполнения требуется цена ниже безубыточной, следует менять концепцию, объект или условия аренды.</w:t>
      </w:r>
    </w:p>
    <w:p>
      <w:pPr>
        <w:pStyle w:val="Heading1"/>
      </w:pPr>
      <w:r>
        <w:t>6 Правовые условия запуска</w:t>
      </w:r>
    </w:p>
    <w:p>
      <w:r/>
      <w:r>
        <w:rPr>
          <w:b/>
        </w:rPr>
        <w:t>Здание нельзя считать готовым под пансионат на основании имеющегося АР.</w:t>
      </w:r>
      <w:r>
        <w:t xml:space="preserve"> Для дома престарелых требуется проверка Ф1.1, а документ описывает Ф3.4. Противоречие между III и IV степенями огнестойкости также должно быть устранено обследованием и проектом. СП 2.13130.2020, пункт 6.7.19, предъявляет к домам престарелых требования больниц; для двух и более этажей требуется степень не ниже II и класс С0. Применимость всех условий и проектных решений подтверждает профильный проектировщик. [S20–S22]</w:t>
      </w:r>
    </w:p>
    <w:p>
      <w:r>
        <w:t>ВРИ «дома социального обслуживания» имеет код 3.2.1. Нынешние административное и амбулаторное назначения не доказывают возможность стационарного проживания пожилых. Нужны актуальные выписки, ПЗЗ, ГПЗУ, проверка разрешенного использования, законности реконструкции и, при необходимости, процедуры изменения. Проверка охранного статуса здания и ограничений территории также обязательна. [S25]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72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Направление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Что необходимо подтвердить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Законная площадь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Разрешения, ввод, фактические обмеры, кадастровый учет реконструкции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Пожарная безопасность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Ф1.1, огнестойкость, пожарные отсеки, выходы, безопасные зоны, системы, штат эвакуации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Маломобильные жители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Доступные маршруты, санитарные помещения, подъем между этажами и отдельная схема спасения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Санитарная планировка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Прием, жилые группы, спальни, изоляция, питание, помещения персонала, чистые и грязные потоки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Оператор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Регистрация, профиль ОКВЭД 87.30, уведомление о начале деятельности, договоры, кассовая дисциплина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Персонал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Оформление, обучение уходу, медосмотры, смены, резерв отсутствий, аварийные алгоритмы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Инженерные системы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Мощности, отопление, вода, канализация, вентиляция, пожарная автоматика, обслуживание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Питание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Организация кухни или проверенный подрядчик, производственный контроль и санитарный режим</w:t>
            </w:r>
          </w:p>
        </w:tc>
      </w:tr>
    </w:tbl>
    <w:p>
      <w:pPr>
        <w:spacing w:after="20"/>
      </w:pPr>
    </w:p>
    <w:p>
      <w:r>
        <w:t>С 1 сентября 2026 года применяется СП 2.1.4284-26 вместо СП 2.1.3678-20. Он предусматривает спальни на 1–3 человека, приемное отделение, соответствующие жилые группы и транспортирование между этажами. При проживании менее 100 человек нужны минимум две изоляционные койки; при 100 и более — минимум четыре. В обоих случаях требуется не менее двух палат, мужской и женской (п. 117 СП 2.1.4284-26). Изолятор не включается в постоянную продаваемую вместимость. Гипотеза 60 мест означает 60 постоянных продаваемых мест и дополнительно две оборудованные изоляционные койки в отдельных палатах; законность такой вместимости и размещения еще предстоит подтвердить. Для питания действует новый СанПиН 2.3/2.4.4282-26. [S18–S19]</w:t>
      </w:r>
    </w:p>
    <w:p>
      <w:r>
        <w:t>В постановлении есть переходное положение для ранее начатых строительства и реконструкции. Оно не подтверждает автоматически право превратить административный объект в пансионат по прежней документации. Применимость переходных условий должна быть отдельно установлена проектировщиком и юристом.</w:t>
      </w:r>
    </w:p>
    <w:p>
      <w:r>
        <w:t>СП 145.13330.2020 предусматривает лифты при двух и более этажах; для двухэтажных объектов возможны предусмотренные заданием альтернативные механизмы. Обычный лифт не заменяет расчет эвакуации. Таблица Б.4 содержит, в частности, 16 м² на двух мобильных жителей, 20 м² на трех мобильных и 24 м² на трех нуждающихся в помощи или использующих кресла-коляски. Санузлы и общие зоны добавляются. Делить 1 843 м² на норматив спальни для определения числа мест неверно. [S23–S24, S46]</w:t>
      </w:r>
    </w:p>
    <w:p>
      <w:r>
        <w:t>Самостоятельная медицинская деятельность требует соответствующей лицензии. Нельзя поручить инъекции и медицинские перевязки сотруднику только потому, что у него есть диплом, если деятельность оператора не лицензирована. Договор с медицинской организацией должен соответствовать видам работ, условиям и допустимому месту оказания помощи. Бытовой уход не следует рекламировать как медицинскую реабилитацию. [S27]</w:t>
      </w:r>
    </w:p>
    <w:p>
      <w:r>
        <w:t>Реестр поставщиков социальных услуг по 442-ФЗ добровольный. Компенсации зависят от регионального порядка и документов конкретного получателя. В базовую выручку субсидии и компенсации не включаются. Для деятельности по уходу с проживанием необходимо проверить и подать предусмотренное уведомление о начале работы. [S26, S28]</w:t>
      </w:r>
    </w:p>
    <w:p>
      <w:pPr>
        <w:pStyle w:val="Heading1"/>
      </w:pPr>
      <w:r>
        <w:t>7 Штат и себестоимость</w:t>
      </w:r>
    </w:p>
    <w:p>
      <w:r>
        <w:t>Дежурство 24/7 — это расписание нескольких работников. Проживание сотрудника в пансионате не делает его круглосуточным постом. Рабочая финансовая формула ухода: сумма дневных и ночных постов × 12 часов × дней месяца / 160 часов × 1,15, с округлением вверх. 160 часов и 15% резерва — допущения бюджета, а не универсальные нормативы.</w:t>
      </w:r>
    </w:p>
    <w:p>
      <w:r>
        <w:t>Начальная проверка использует одного работника ухода на десять жителей днем и на двадцать ночью, минимум два поста каждой смены и не менее числа действующих жилых этажей. При 51–54 жителях это шесть дневных и три ночных поста: 24 ставки в 30-дневном месяце. При 31 дне может потребоваться 25 ставок. Эти соотношения нужно проверить по тяжести ухода, планировке, одновременным перемещениям и времени процедур.</w:t>
      </w:r>
    </w:p>
    <w:p>
      <w:r>
        <w:t>Публичная вакансия Senior Group в Малаховке указывает от 70 400 ₽ gross для сиделки, а постовой медсестры — от 89 100 ₽ gross. Для бюджета ухода принято 80 000 ₽ gross за ставку. Сайты работодателей публикуют и вахтовые суммы, но без числа часов и признака net/gross их нельзя механически сравнивать со штатной ставкой. [S35–S38]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832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Вспомогательная роль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Ставки и gross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Gross в месяц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Управляющий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 × 130 000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130 000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Руководитель ухода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 × 95 000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95 000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Администратор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 × 90 000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90 000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Повара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2,5 × 80 000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200 000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Кухонные работники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2,5 × 60 000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150 000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Уборка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 × 60 000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180 000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Досуг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0,5 × 70 000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35 000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Техник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0,5 × 80 000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40 000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Итого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12 ставок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920 000 ₽</w:t>
            </w:r>
          </w:p>
        </w:tc>
      </w:tr>
    </w:tbl>
    <w:p>
      <w:pPr>
        <w:spacing w:after="20"/>
      </w:pPr>
    </w:p>
    <w:p>
      <w:r>
        <w:t>При 24 ставках ухода общий gross равен 2,84 млн ₽. С бюджетными начислениями 30,2% — 3,698 млн ₽/месяц. 0,2% травматизма нужно подтвердить. Льготные страховые тарифы для подходящих МСП могут улучшить результат, но в базу до проверки не заложены. [S34]</w:t>
      </w:r>
    </w:p>
    <w:p>
      <w:r>
        <w:t>Переменные расходы 600 ₽ на жителя в день — нижняя рабочая гипотеза: продукты 380, питание сотрудников 70, стирка 60, гигиена и хозяйственные расходники 90. В стресс-тесте необходимо 750 ₽ и выше. Персональные лекарства, специальные смеси и значительный расход индивидуальных средств должны быть отдельно прозрачно оговорены, а не скрыты в обещании «все включено».</w:t>
      </w:r>
    </w:p>
    <w:p>
      <w:r>
        <w:t>Прочие постоянные расходы предварительно оцениваются в 550 тысяч ₽/месяц: коммунальные 150, привлечение клиентов 180, медицинский партнер 100, бухгалтерия и IT 35, отходы и санитарные договоры 30, обслуживание и мелкий ремонт 40, страхование 15. Это бюджетные допущения без счетов и коммерческих предложений. Комиссии приема оплаты считаются отдельно как 1% поступлений.</w:t>
      </w:r>
    </w:p>
    <w:p>
      <w:pPr>
        <w:pStyle w:val="Heading1"/>
      </w:pPr>
      <w:r>
        <w:t>8 Оснащение и капитальные затраты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832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Контрольная позиция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Цена сайта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Кровать MET ТАРУС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39 900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Механическая функциональная; комплект проверить. [S39]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Кровать MET DELTA 7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55 900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Электрическая; комплект проверить. [S40]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Матрас MET 2 DENSITY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24 900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Совместимость размеров проверить. [S41]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Противопролежневая система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16 900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 индивидуальной оценке риска. [S42]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Мобильный подъемник пациента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79 900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Для пересаживания, не для подъема между этажами. [S43]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Кресло туалет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6 900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Часть вспомогательного оснащения. [S44]</w:t>
            </w:r>
          </w:p>
        </w:tc>
      </w:tr>
    </w:tbl>
    <w:p>
      <w:pPr>
        <w:spacing w:after="20"/>
      </w:pPr>
    </w:p>
    <w:p>
      <w:r>
        <w:t>На 60 мест сочетание 30 механических и 30 электрических кроватей с 60 матрасами дает около 4,37 млн ₽ до мебели, текстиля, общих зон, кухни, связи и остального оборудования. Это розничный ориентир, не подписанное КП. Примечание к бюджету: приведенная калькуляция кроватей и матрасов относится к 60 постоянным местам; отдельно необходимо предусмотреть оснащение двух изоляционных коек и соответствующих палат, без включения их в выручку.</w:t>
      </w:r>
    </w:p>
    <w:p>
      <w:r>
        <w:t>Стоимость доведения здания под Ф1.1 не установлена. Нужны обследование, проект и смета. Для проверки порядка величин можно использовать диапазон десятков миллионов рублей и отдельно распределить расходы собственника и оператора. Такой расчет не заменяет сметный расчет в принятой нормативной базе.</w:t>
      </w:r>
    </w:p>
    <w:p>
      <w:r>
        <w:t>Капитальные затраты нельзя смешивать с ежемесячной арендой. Даже небольшой положительный результат к десятому месяцу может сочетаться с большой общей потребностью в финансировании и длительным возвратом вложений.</w:t>
      </w:r>
    </w:p>
    <w:p>
      <w:pPr>
        <w:pStyle w:val="Heading1"/>
      </w:pPr>
      <w:r>
        <w:t>9 Налоги и влияние на аренду</w:t>
      </w:r>
    </w:p>
    <w:p>
      <w:r>
        <w:t>ФНС подтверждает сохранение порога освобождения УСН от НДС 20 млн ₽ на 2026–2029 годы. Порог проверяется по календарным годам, включая предыдущий год и всю выручку оператора. Для облагаемых операций НДС возникает с месяца после превышения в текущем году либо с начала года при превышении в предыдущем. [S29–S30]</w:t>
      </w:r>
    </w:p>
    <w:p>
      <w:r>
        <w:t>Возможность освобождения конкретных услуг ухода и социальных услуг рассматривается по подпунктам 3 и 14.1 пункта 2 статьи 149 НК РФ. Одного ОКВЭД недостаточно. Нужны соответствующие услуги, документы о нуждаемости, договоры и при необходимости раздельный учет. Смешанный пакет проживания, питания и ухода нельзя заранее считать полностью освобожденным. [S31–S32]</w:t>
      </w:r>
    </w:p>
    <w:p>
      <w:r>
        <w:t>В предварительной базе используются НДС 5% внутри клиентского тарифа после утраты порогового освобождения и УСН «доходы минус расходы» 15%. Возможная региональная ставка 10% и страховые льготы рассчитываются только после подтверждения условий. Минимальный налог УСН 1% годовой; его помесячный резерв в модели будет явно назван управленческим, а не графиком фактической уплаты. [S33–S34]</w:t>
      </w:r>
    </w:p>
    <w:p>
      <w:r>
        <w:t>Предельная аренда должна рассчитываться после расходов на персонал, питание, эксплуатацию, комиссии, НДС и налога с деятельности. Нулевой остаток — граница безубыточности, а не рекомендуемая цена договора. Нужен запас на колебания загрузки и расходов.</w:t>
      </w:r>
    </w:p>
    <w:p>
      <w:pPr>
        <w:pStyle w:val="Heading1"/>
      </w:pPr>
      <w:r>
        <w:t>10 Решение по итогам исследования</w:t>
      </w:r>
    </w:p>
    <w:p>
      <w:r>
        <w:t>Продолжать проверку объекта можно. Подписывать безусловную долгосрочную аренду и начинать крупное оснащение на основании текущего комплекта нельзя рекомендовать. Сначала собственник и проектировщики должны подтвердить правовой и технический контур, затем команда продаж — цену и спрос.</w:t>
      </w:r>
    </w:p>
    <w:p>
      <w:r>
        <w:t>Последовательность проверки: актуальные документы и ВРИ; обследование и предварительная планировка Ф1.1; подтвержденная вместимость с изолятором; смета и распределение работ; тест спроса; обновленный финансовый расчет; договор с условиями выхода при непрохождении проверок.</w:t>
      </w:r>
    </w:p>
    <w:p>
      <w:r>
        <w:t>Критерии отказа: невозможно законно разместить услугу; технически или экономически недостижимая пожарная безопасность; фактическая вместимость ниже порога экономики; неподтвержденный высокий тариф; аренда выше допустимой; отсутствие денег на оснащение и накопленные убытки запуска. Итоговое решение должно учитывать все эти условия одновременно.</w:t>
      </w:r>
    </w:p>
    <w:p>
      <w:pPr>
        <w:pStyle w:val="Heading1"/>
      </w:pPr>
      <w:r>
        <w:t>Публичные источники</w:t>
      </w:r>
    </w:p>
    <w:p>
      <w:r>
        <w:t>Источники открыты при исследовании 16.09.2026. Государственные сведения отделены от рекламных предложений. Динамические цены и вакансии нужно подтвердить перед заключением договоров. Исходные DOCX, фотографии и видео находятся в папке заказчика; краткий технический реестр сохранен отдельно.</w:t>
      </w:r>
    </w:p>
    <w:p>
      <w:r/>
      <w:hyperlink r:id="rId10">
        <w:r>
          <w:rPr>
            <w:color w:val="24547B"/>
          </w:rPr>
          <w:t>S01 Виктория на Малаховской улице</w:t>
        </w:r>
      </w:hyperlink>
      <w:r/>
    </w:p>
    <w:p>
      <w:r/>
      <w:hyperlink r:id="rId11">
        <w:r>
          <w:rPr>
            <w:color w:val="24547B"/>
          </w:rPr>
          <w:t>S02 Виктория на Заречной улице</w:t>
        </w:r>
      </w:hyperlink>
      <w:r/>
    </w:p>
    <w:p>
      <w:r/>
      <w:hyperlink r:id="rId12">
        <w:r>
          <w:rPr>
            <w:color w:val="24547B"/>
          </w:rPr>
          <w:t>S03 Senior Group официальный прайс</w:t>
        </w:r>
      </w:hyperlink>
      <w:r/>
    </w:p>
    <w:p>
      <w:r/>
      <w:hyperlink r:id="rId13">
        <w:r>
          <w:rPr>
            <w:color w:val="24547B"/>
          </w:rPr>
          <w:t>S04 Пансионат Раменское на Гражданской улице</w:t>
        </w:r>
      </w:hyperlink>
      <w:r/>
    </w:p>
    <w:p>
      <w:r/>
      <w:hyperlink r:id="rId14">
        <w:r>
          <w:rPr>
            <w:color w:val="24547B"/>
          </w:rPr>
          <w:t>S05 Забота Раменский</w:t>
        </w:r>
      </w:hyperlink>
      <w:r/>
    </w:p>
    <w:p>
      <w:r/>
      <w:hyperlink r:id="rId15">
        <w:r>
          <w:rPr>
            <w:color w:val="24547B"/>
          </w:rPr>
          <w:t>S06 Забота Золотой возраст</w:t>
        </w:r>
      </w:hyperlink>
      <w:r/>
    </w:p>
    <w:p>
      <w:r/>
      <w:hyperlink r:id="rId16">
        <w:r>
          <w:rPr>
            <w:color w:val="24547B"/>
          </w:rPr>
          <w:t>S07 Забота Новокосино</w:t>
        </w:r>
      </w:hyperlink>
      <w:r/>
    </w:p>
    <w:p>
      <w:r/>
      <w:hyperlink r:id="rId17">
        <w:r>
          <w:rPr>
            <w:color w:val="24547B"/>
          </w:rPr>
          <w:t>S08 Опека Алтуфьевский</w:t>
        </w:r>
      </w:hyperlink>
      <w:r/>
    </w:p>
    <w:p>
      <w:r/>
      <w:hyperlink r:id="rId18">
        <w:r>
          <w:rPr>
            <w:color w:val="24547B"/>
          </w:rPr>
          <w:t>S09 Опека Щукинский 2</w:t>
        </w:r>
      </w:hyperlink>
      <w:r/>
    </w:p>
    <w:p>
      <w:r/>
      <w:hyperlink r:id="rId19">
        <w:r>
          <w:rPr>
            <w:color w:val="24547B"/>
          </w:rPr>
          <w:t>S10 Опека Красногорский</w:t>
        </w:r>
      </w:hyperlink>
      <w:r/>
    </w:p>
    <w:p>
      <w:r/>
      <w:hyperlink r:id="rId20">
        <w:r>
          <w:rPr>
            <w:color w:val="24547B"/>
          </w:rPr>
          <w:t>S11 Опека Цветы</w:t>
        </w:r>
      </w:hyperlink>
      <w:r/>
    </w:p>
    <w:p>
      <w:r/>
      <w:hyperlink r:id="rId21">
        <w:r>
          <w:rPr>
            <w:color w:val="24547B"/>
          </w:rPr>
          <w:t>S12 Виктория в Денежниково</w:t>
        </w:r>
      </w:hyperlink>
      <w:r/>
    </w:p>
    <w:p>
      <w:r/>
      <w:hyperlink r:id="rId22">
        <w:r>
          <w:rPr>
            <w:color w:val="24547B"/>
          </w:rPr>
          <w:t>S13 Дом Долголетие</w:t>
        </w:r>
      </w:hyperlink>
      <w:r/>
    </w:p>
    <w:p>
      <w:r/>
      <w:hyperlink r:id="rId23">
        <w:r>
          <w:rPr>
            <w:color w:val="24547B"/>
          </w:rPr>
          <w:t>S14 Помощь близких на улице Чайковского</w:t>
        </w:r>
      </w:hyperlink>
      <w:r/>
    </w:p>
    <w:p>
      <w:r/>
      <w:hyperlink r:id="rId24">
        <w:r>
          <w:rPr>
            <w:color w:val="24547B"/>
          </w:rPr>
          <w:t>S15 Опека условия сентябрьской акции</w:t>
        </w:r>
      </w:hyperlink>
      <w:r/>
    </w:p>
    <w:p>
      <w:r/>
      <w:hyperlink r:id="rId25">
        <w:r>
          <w:rPr>
            <w:color w:val="24547B"/>
          </w:rPr>
          <w:t>S16 СФР о жителях старше 80 лет</w:t>
        </w:r>
      </w:hyperlink>
      <w:r/>
    </w:p>
    <w:p>
      <w:r/>
      <w:hyperlink r:id="rId26">
        <w:r>
          <w:rPr>
            <w:color w:val="24547B"/>
          </w:rPr>
          <w:t>S17 СФР об индексации страховых пенсий</w:t>
        </w:r>
      </w:hyperlink>
      <w:r/>
    </w:p>
    <w:p>
      <w:r/>
      <w:hyperlink r:id="rId27">
        <w:r>
          <w:rPr>
            <w:color w:val="24547B"/>
          </w:rPr>
          <w:t>S18 Роспотребнадзор о новых санитарных правилах</w:t>
        </w:r>
      </w:hyperlink>
      <w:r/>
    </w:p>
    <w:p>
      <w:r/>
      <w:hyperlink r:id="rId28">
        <w:r>
          <w:rPr>
            <w:color w:val="24547B"/>
          </w:rPr>
          <w:t>S19 СП 2.1.4284-26 полный текст</w:t>
        </w:r>
      </w:hyperlink>
      <w:r/>
    </w:p>
    <w:p>
      <w:r/>
      <w:hyperlink r:id="rId29">
        <w:r>
          <w:rPr>
            <w:color w:val="24547B"/>
          </w:rPr>
          <w:t>S20 Росстандарт карточка СП 2.13130.2020</w:t>
        </w:r>
      </w:hyperlink>
      <w:r/>
    </w:p>
    <w:p>
      <w:r/>
      <w:hyperlink r:id="rId30">
        <w:r>
          <w:rPr>
            <w:color w:val="24547B"/>
          </w:rPr>
          <w:t>S21 Росстандарт изменение № 2 к СП 2</w:t>
        </w:r>
      </w:hyperlink>
      <w:r/>
    </w:p>
    <w:p>
      <w:r/>
      <w:hyperlink r:id="rId31">
        <w:r>
          <w:rPr>
            <w:color w:val="24547B"/>
          </w:rPr>
          <w:t>S22 СП 2.13130.2020 консолидированный текст</w:t>
        </w:r>
      </w:hyperlink>
      <w:r/>
    </w:p>
    <w:p>
      <w:r/>
      <w:hyperlink r:id="rId32">
        <w:r>
          <w:rPr>
            <w:color w:val="24547B"/>
          </w:rPr>
          <w:t>S23 СП 145.13330.2020</w:t>
        </w:r>
      </w:hyperlink>
      <w:r/>
    </w:p>
    <w:p>
      <w:r/>
      <w:hyperlink r:id="rId33">
        <w:r>
          <w:rPr>
            <w:color w:val="24547B"/>
          </w:rPr>
          <w:t>S24 СП 145 таблица Б.4</w:t>
        </w:r>
      </w:hyperlink>
      <w:r/>
    </w:p>
    <w:p>
      <w:r/>
      <w:hyperlink r:id="rId34">
        <w:r>
          <w:rPr>
            <w:color w:val="24547B"/>
          </w:rPr>
          <w:t>S25 Классификатор видов разрешенного использования</w:t>
        </w:r>
      </w:hyperlink>
      <w:r/>
    </w:p>
    <w:p>
      <w:r/>
      <w:hyperlink r:id="rId35">
        <w:r>
          <w:rPr>
            <w:color w:val="24547B"/>
          </w:rPr>
          <w:t>S26 Минтруд закон 442-ФЗ</w:t>
        </w:r>
      </w:hyperlink>
      <w:r/>
    </w:p>
    <w:p>
      <w:r/>
      <w:hyperlink r:id="rId36">
        <w:r>
          <w:rPr>
            <w:color w:val="24547B"/>
          </w:rPr>
          <w:t>S27 Росздравнадзор лицензирование</w:t>
        </w:r>
      </w:hyperlink>
      <w:r/>
    </w:p>
    <w:p>
      <w:r/>
      <w:hyperlink r:id="rId37">
        <w:r>
          <w:rPr>
            <w:color w:val="24547B"/>
          </w:rPr>
          <w:t>S28 Постановление № 725 перечень уведомлений</w:t>
        </w:r>
      </w:hyperlink>
      <w:r/>
    </w:p>
    <w:p>
      <w:r/>
      <w:hyperlink r:id="rId38">
        <w:r>
          <w:rPr>
            <w:color w:val="24547B"/>
          </w:rPr>
          <w:t>S29 ФНС о пороге НДС июль 2026</w:t>
        </w:r>
      </w:hyperlink>
      <w:r/>
    </w:p>
    <w:p>
      <w:r/>
      <w:hyperlink r:id="rId39">
        <w:r>
          <w:rPr>
            <w:color w:val="24547B"/>
          </w:rPr>
          <w:t>S30 ФНС о пороге НДС август 2026</w:t>
        </w:r>
      </w:hyperlink>
      <w:r/>
    </w:p>
    <w:p>
      <w:r/>
      <w:hyperlink r:id="rId40">
        <w:r>
          <w:rPr>
            <w:color w:val="24547B"/>
          </w:rPr>
          <w:t>S31 НК РФ статья 149</w:t>
        </w:r>
      </w:hyperlink>
      <w:r/>
    </w:p>
    <w:p>
      <w:r/>
      <w:hyperlink r:id="rId41">
        <w:r>
          <w:rPr>
            <w:color w:val="24547B"/>
          </w:rPr>
          <w:t>S32 Минфин об услугах пансионата</w:t>
        </w:r>
      </w:hyperlink>
      <w:r/>
    </w:p>
    <w:p>
      <w:r/>
      <w:hyperlink r:id="rId42">
        <w:r>
          <w:rPr>
            <w:color w:val="24547B"/>
          </w:rPr>
          <w:t>S33 ФНС Московской области об УСН</w:t>
        </w:r>
      </w:hyperlink>
      <w:r/>
    </w:p>
    <w:p>
      <w:r/>
      <w:hyperlink r:id="rId43">
        <w:r>
          <w:rPr>
            <w:color w:val="24547B"/>
          </w:rPr>
          <w:t>S34 ФНС о страховых взносах 2026</w:t>
        </w:r>
      </w:hyperlink>
      <w:r/>
    </w:p>
    <w:p>
      <w:r/>
      <w:hyperlink r:id="rId44">
        <w:r>
          <w:rPr>
            <w:color w:val="24547B"/>
          </w:rPr>
          <w:t>S35 HH зарплаты в Малаховке</w:t>
        </w:r>
      </w:hyperlink>
      <w:r/>
    </w:p>
    <w:p>
      <w:r/>
      <w:hyperlink r:id="rId45">
        <w:r>
          <w:rPr>
            <w:color w:val="24547B"/>
          </w:rPr>
          <w:t>S36 Описание вакансии Senior Group</w:t>
        </w:r>
      </w:hyperlink>
      <w:r/>
    </w:p>
    <w:p>
      <w:r/>
      <w:hyperlink r:id="rId46">
        <w:r>
          <w:rPr>
            <w:color w:val="24547B"/>
          </w:rPr>
          <w:t>S37 Теплые беседы вакансии</w:t>
        </w:r>
      </w:hyperlink>
      <w:r/>
    </w:p>
    <w:p>
      <w:r/>
      <w:hyperlink r:id="rId47">
        <w:r>
          <w:rPr>
            <w:color w:val="24547B"/>
          </w:rPr>
          <w:t>S38 SM PENSION вакансии</w:t>
        </w:r>
      </w:hyperlink>
      <w:r/>
    </w:p>
    <w:p>
      <w:r/>
      <w:hyperlink r:id="rId48">
        <w:r>
          <w:rPr>
            <w:color w:val="24547B"/>
          </w:rPr>
          <w:t>S39 MET ТАРУС</w:t>
        </w:r>
      </w:hyperlink>
      <w:r/>
    </w:p>
    <w:p>
      <w:r/>
      <w:hyperlink r:id="rId49">
        <w:r>
          <w:rPr>
            <w:color w:val="24547B"/>
          </w:rPr>
          <w:t>S40 MET DELTA 7</w:t>
        </w:r>
      </w:hyperlink>
      <w:r/>
    </w:p>
    <w:p>
      <w:r/>
      <w:hyperlink r:id="rId50">
        <w:r>
          <w:rPr>
            <w:color w:val="24547B"/>
          </w:rPr>
          <w:t>S41 MET 2 DENSITY</w:t>
        </w:r>
      </w:hyperlink>
      <w:r/>
    </w:p>
    <w:p>
      <w:r/>
      <w:hyperlink r:id="rId51">
        <w:r>
          <w:rPr>
            <w:color w:val="24547B"/>
          </w:rPr>
          <w:t>S42 MET AIR T-100</w:t>
        </w:r>
      </w:hyperlink>
      <w:r/>
    </w:p>
    <w:p>
      <w:r/>
      <w:hyperlink r:id="rId52">
        <w:r>
          <w:rPr>
            <w:color w:val="24547B"/>
          </w:rPr>
          <w:t>S43 MET АТЛАНТ Б</w:t>
        </w:r>
      </w:hyperlink>
      <w:r/>
    </w:p>
    <w:p>
      <w:r/>
      <w:hyperlink r:id="rId53">
        <w:r>
          <w:rPr>
            <w:color w:val="24547B"/>
          </w:rPr>
          <w:t>S44 MET 609WC</w:t>
        </w:r>
      </w:hyperlink>
      <w:r/>
    </w:p>
    <w:p>
      <w:r/>
      <w:hyperlink r:id="rId54">
        <w:r>
          <w:rPr>
            <w:color w:val="24547B"/>
          </w:rPr>
          <w:t>S45 Росстандарт перечень пожарных СП</w:t>
        </w:r>
      </w:hyperlink>
      <w:r/>
    </w:p>
    <w:p>
      <w:r/>
      <w:hyperlink r:id="rId55">
        <w:r>
          <w:rPr>
            <w:color w:val="24547B"/>
          </w:rPr>
          <w:t>S46 СП 1.13130.2020 об эвакуации</w:t>
        </w:r>
      </w:hyperlink>
      <w:r/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Малаховка · Рабочий бизнес-план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ansionatcdz.ru/kontakty/malahovka/" TargetMode="External"/><Relationship Id="rId11" Type="http://schemas.openxmlformats.org/officeDocument/2006/relationships/hyperlink" Target="https://www.pansionatcdz.ru/kontakty/pansionat-dlya-pozhilyh-v-malahovke/" TargetMode="External"/><Relationship Id="rId12" Type="http://schemas.openxmlformats.org/officeDocument/2006/relationships/hyperlink" Target="https://www.seniorgroup.ru/prices/" TargetMode="External"/><Relationship Id="rId13" Type="http://schemas.openxmlformats.org/officeDocument/2006/relationships/hyperlink" Target="https://ramenskoepansionat.ru/" TargetMode="External"/><Relationship Id="rId14" Type="http://schemas.openxmlformats.org/officeDocument/2006/relationships/hyperlink" Target="https://www.pansion-zabota.ru/catalog/ramenskiy/" TargetMode="External"/><Relationship Id="rId15" Type="http://schemas.openxmlformats.org/officeDocument/2006/relationships/hyperlink" Target="https://www.pansion-zabota.ru/catalog/rezidentsiya-dlya-pozhilykh-zolotoy-vozrast/" TargetMode="External"/><Relationship Id="rId16" Type="http://schemas.openxmlformats.org/officeDocument/2006/relationships/hyperlink" Target="https://www.pansion-zabota.ru/catalog/balashiha-pansionat-dlya-pozhilyh/" TargetMode="External"/><Relationship Id="rId17" Type="http://schemas.openxmlformats.org/officeDocument/2006/relationships/hyperlink" Target="https://sgc-opeca.ru/msk/pansionaty/altufevskiy/" TargetMode="External"/><Relationship Id="rId18" Type="http://schemas.openxmlformats.org/officeDocument/2006/relationships/hyperlink" Target="https://sgc-opeca.ru/msk/pansionaty/shchukinskiy-2/" TargetMode="External"/><Relationship Id="rId19" Type="http://schemas.openxmlformats.org/officeDocument/2006/relationships/hyperlink" Target="https://sgc-opeca.ru/msk/pansionaty/krasnogorskiy/" TargetMode="External"/><Relationship Id="rId20" Type="http://schemas.openxmlformats.org/officeDocument/2006/relationships/hyperlink" Target="https://sgc-opeca.ru/msk/pansionaty/tsvety/" TargetMode="External"/><Relationship Id="rId21" Type="http://schemas.openxmlformats.org/officeDocument/2006/relationships/hyperlink" Target="https://www.pansionatcdz.ru/kontakty/dom-prestarelyh-ramenskoe/" TargetMode="External"/><Relationship Id="rId22" Type="http://schemas.openxmlformats.org/officeDocument/2006/relationships/hyperlink" Target="https://dolgoletiedom.ru/" TargetMode="External"/><Relationship Id="rId23" Type="http://schemas.openxmlformats.org/officeDocument/2006/relationships/hyperlink" Target="https://malakhovka.pansionat.help/o-nas/tseny/" TargetMode="External"/><Relationship Id="rId24" Type="http://schemas.openxmlformats.org/officeDocument/2006/relationships/hyperlink" Target="https://sgc-opeca.ru/msk/promotions/osennyaya-zabota-msk/" TargetMode="External"/><Relationship Id="rId25" Type="http://schemas.openxmlformats.org/officeDocument/2006/relationships/hyperlink" Target="https://sfr.gov.ru/branches/moscow/news/~2025/09/29/275739" TargetMode="External"/><Relationship Id="rId26" Type="http://schemas.openxmlformats.org/officeDocument/2006/relationships/hyperlink" Target="https://sfr.gov.ru/branches/moscow/news~2026/01/12/277996" TargetMode="External"/><Relationship Id="rId27" Type="http://schemas.openxmlformats.org/officeDocument/2006/relationships/hyperlink" Target="https://zpp.rospotrebnadzor.ru/news/federal/575103" TargetMode="External"/><Relationship Id="rId28" Type="http://schemas.openxmlformats.org/officeDocument/2006/relationships/hyperlink" Target="https://www.garant.ru/products/ipo/prime/doc/414229111/" TargetMode="External"/><Relationship Id="rId29" Type="http://schemas.openxmlformats.org/officeDocument/2006/relationships/hyperlink" Target="https://protect.gost.ru/sp/details/90783c81-7eaa-4b90-b774-55ad27e6dfa1" TargetMode="External"/><Relationship Id="rId30" Type="http://schemas.openxmlformats.org/officeDocument/2006/relationships/hyperlink" Target="https://protect.gost.ru/sp/changesdetails/fd8720c4-ae0b-496f-8796-eec45a151fbf" TargetMode="External"/><Relationship Id="rId31" Type="http://schemas.openxmlformats.org/officeDocument/2006/relationships/hyperlink" Target="https://meganorm.ru/mega_doc/fire_update_01122025/pravila/0/prikaz_mchs_rossii_ot_12_03_2020_N_151_red_ot_06_11_2025_ob.html" TargetMode="External"/><Relationship Id="rId32" Type="http://schemas.openxmlformats.org/officeDocument/2006/relationships/hyperlink" Target="https://base.garant.ru/400535835/" TargetMode="External"/><Relationship Id="rId33" Type="http://schemas.openxmlformats.org/officeDocument/2006/relationships/hyperlink" Target="https://base.garant.ru/400535835/f7ee959fd36b5699076b35abf4f52c5c/" TargetMode="External"/><Relationship Id="rId34" Type="http://schemas.openxmlformats.org/officeDocument/2006/relationships/hyperlink" Target="https://base.garant.ru/75062082/53f89421bbdaf741eb2d1ecc4ddb4c33/" TargetMode="External"/><Relationship Id="rId35" Type="http://schemas.openxmlformats.org/officeDocument/2006/relationships/hyperlink" Target="https://mintrud.gov.ru/docs/laws/112" TargetMode="External"/><Relationship Id="rId36" Type="http://schemas.openxmlformats.org/officeDocument/2006/relationships/hyperlink" Target="https://www.roszdravnadzor.gov.ru/spec/medactivities/licensing" TargetMode="External"/><Relationship Id="rId37" Type="http://schemas.openxmlformats.org/officeDocument/2006/relationships/hyperlink" Target="https://www.consultant.ru/document/cons_doc_LAW_506214/596df7fbb35bfa54ff16a2caf87e9705f71b984c/" TargetMode="External"/><Relationship Id="rId38" Type="http://schemas.openxmlformats.org/officeDocument/2006/relationships/hyperlink" Target="https://www.nalog.gov.ru/rn46/news/activities_fts/16636927/" TargetMode="External"/><Relationship Id="rId39" Type="http://schemas.openxmlformats.org/officeDocument/2006/relationships/hyperlink" Target="https://www.nalog.gov.ru/rn64/news/activities_fts/16640747/" TargetMode="External"/><Relationship Id="rId40" Type="http://schemas.openxmlformats.org/officeDocument/2006/relationships/hyperlink" Target="https://www.consultant.ru/document/cons_doc_LAW_28165/c8ebcedc9ddce9d959d6c520c3b0d602f71e8e12/" TargetMode="External"/><Relationship Id="rId41" Type="http://schemas.openxmlformats.org/officeDocument/2006/relationships/hyperlink" Target="https://www.garant.ru/products/ipo/prime/doc/71493326/" TargetMode="External"/><Relationship Id="rId42" Type="http://schemas.openxmlformats.org/officeDocument/2006/relationships/hyperlink" Target="https://www.nalog.gov.ru/rn50/taxation/taxes/usn/" TargetMode="External"/><Relationship Id="rId43" Type="http://schemas.openxmlformats.org/officeDocument/2006/relationships/hyperlink" Target="https://www.nalog.gov.ru/rn16/news/tax_doc_news/16602634/" TargetMode="External"/><Relationship Id="rId44" Type="http://schemas.openxmlformats.org/officeDocument/2006/relationships/hyperlink" Target="https://lyubertsy.hh.ru/vacancies/specialist_po_kachestvu/smenniy_grafik" TargetMode="External"/><Relationship Id="rId45" Type="http://schemas.openxmlformats.org/officeDocument/2006/relationships/hyperlink" Target="https://dreamjob.ru/employers/148188/vakansii/127156013" TargetMode="External"/><Relationship Id="rId46" Type="http://schemas.openxmlformats.org/officeDocument/2006/relationships/hyperlink" Target="https://teplye-besedy.ru/about/vacancies/" TargetMode="External"/><Relationship Id="rId47" Type="http://schemas.openxmlformats.org/officeDocument/2006/relationships/hyperlink" Target="https://sm-pension.ru/o-kompanii/vakansii/" TargetMode="External"/><Relationship Id="rId48" Type="http://schemas.openxmlformats.org/officeDocument/2006/relationships/hyperlink" Target="https://www.met.ru/goods/19563/" TargetMode="External"/><Relationship Id="rId49" Type="http://schemas.openxmlformats.org/officeDocument/2006/relationships/hyperlink" Target="https://www.met.ru/goods/18001/" TargetMode="External"/><Relationship Id="rId50" Type="http://schemas.openxmlformats.org/officeDocument/2006/relationships/hyperlink" Target="https://www.met.ru/goods/18898/" TargetMode="External"/><Relationship Id="rId51" Type="http://schemas.openxmlformats.org/officeDocument/2006/relationships/hyperlink" Target="https://www.met.ru/goods/19599/" TargetMode="External"/><Relationship Id="rId52" Type="http://schemas.openxmlformats.org/officeDocument/2006/relationships/hyperlink" Target="https://www.met.ru/goods/18656/" TargetMode="External"/><Relationship Id="rId53" Type="http://schemas.openxmlformats.org/officeDocument/2006/relationships/hyperlink" Target="https://www.met.ru/goods/21310/" TargetMode="External"/><Relationship Id="rId54" Type="http://schemas.openxmlformats.org/officeDocument/2006/relationships/hyperlink" Target="https://protect.gost.ru/technicalregulations3.aspx?RegNum=56" TargetMode="External"/><Relationship Id="rId55" Type="http://schemas.openxmlformats.org/officeDocument/2006/relationships/hyperlink" Target="https://www.consultant.ru/document/cons_doc_LAW_35194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