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Первичный бизнес план пансионата в Малаховке</w:t>
      </w:r>
    </w:p>
    <w:p>
      <w:r>
        <w:t>Редакция 1. Подготовлена после исследования 16 сентября 2026 года. Объект — улица Чайковского, дом 1. Рабочая финансовая гипотеза до обследования и подтверждения спроса.</w:t>
      </w:r>
    </w:p>
    <w:p>
      <w:pPr>
        <w:pStyle w:val="Heading1"/>
      </w:pPr>
      <w:r>
        <w:t>Решение и цель</w:t>
      </w:r>
    </w:p>
    <w:p>
      <w:r>
        <w:t>Цель — положительный ежемесячный денежный поток к десятому месяцу после открытия. Возврат инвестиций за десять месяцев не требуется. На этой стадии рекомендуется продолжить проверку, а не принимать безусловное обязательство открыть пансионат.</w:t>
      </w:r>
    </w:p>
    <w:p>
      <w:r>
        <w:t>Предварительная концепция: бытовой уход и проживание в небольших комнатах, основная аудитория — самостоятельные и умеренно зависимые пожилые люди. Тяжелый уход допускается только в пределах подтвержденных возможностей персонала, здания и медицинского партнера.</w:t>
      </w:r>
    </w:p>
    <w:p>
      <w:r>
        <w:t>Реконструированная площадь 1 843,1 м² является проектной. Выписка описывает 903,8 м². Число 60 мест означает 60 постоянных продаваемых мест и дополнительно две оборудованные изоляционные койки в двух отдельных палатах. Это проверяемая гипотеза, а не установленная вместимость; изолятор не включается в постоянную продаваемую вместимость. До юридической и пожарной проверки продаваемая вместимость не подтверждена.</w:t>
      </w:r>
    </w:p>
    <w:p>
      <w:pPr>
        <w:pStyle w:val="Heading1"/>
      </w:pPr>
      <w:r>
        <w:t>Продукт и рынок</w:t>
      </w:r>
    </w:p>
    <w:p>
      <w:r>
        <w:t>Рынок в Малаховке существует, но публичные тарифы охватывают разные услуги: от бюджетных рекламных предложений до медицинского премиума. Для нового объекта с официальным сменным штатом попытка конкурировать только минимальной ценой экономически опасна.</w:t>
      </w:r>
    </w:p>
    <w:p>
      <w:r>
        <w:t>Предложение: комнаты на одного–трех человек, круглосуточный бытовой уход, питание, досуг, общение с семьей, доступная прогулочная территория. Медицинские услуги организуются в пределах законной модели; собственный медицинский стационар в расчет не включен.</w:t>
      </w:r>
    </w:p>
    <w:p>
      <w:r>
        <w:t>Первичная проверка среднего тарифа 3 500 ₽/сутки показывает отрицательный результат даже при нулевой аренде. Поэтому для следующего этапа требуется проверить более высокий реализованный средний тариф, порядка 3 900 ₽/сутки, и спрос на него.</w:t>
      </w:r>
    </w:p>
    <w:p>
      <w:pPr>
        <w:pStyle w:val="Heading1"/>
      </w:pPr>
      <w:r>
        <w:t>Проверка десятого месяца</w:t>
      </w:r>
    </w:p>
    <w:p>
      <w:r>
        <w:t>Стандартный 30-дневный месяц, среднее число жителей 51, то есть 85% от условных 60 мест. Штат рассчитывается по ожидаемому максимуму, а не по среднему числу жителей. Все суммы округлены, кроме предела аренды.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1944"/>
        <w:gridCol w:w="5832"/>
      </w:tblGrid>
      <w:tr>
        <w:trPr>
          <w:tblHeader/>
          <w:cantSplit/>
        </w:trP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DCE5ED"/>
          </w:tcPr>
          <w:p>
            <w:pPr>
              <w:spacing w:after="20" w:before="20"/>
            </w:pPr>
            <w:r>
              <w:rPr>
                <w:b/>
                <w:sz w:val="18"/>
              </w:rPr>
              <w:t>Статья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DCE5ED"/>
          </w:tcPr>
          <w:p>
            <w:pPr>
              <w:spacing w:after="20" w:before="20"/>
            </w:pPr>
            <w:r>
              <w:rPr>
                <w:b/>
                <w:sz w:val="18"/>
              </w:rPr>
              <w:t>При 3 500 ₽ в сутки</w:t>
            </w:r>
          </w:p>
        </w:tc>
        <w:tc>
          <w:tcPr>
            <w:tcW w:type="dxa" w:w="58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DCE5ED"/>
          </w:tcPr>
          <w:p>
            <w:pPr>
              <w:spacing w:after="20" w:before="20"/>
            </w:pPr>
            <w:r>
              <w:rPr>
                <w:b/>
                <w:sz w:val="18"/>
              </w:rPr>
              <w:t>При 3 900 ₽ в сутки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Поступления от клиентов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5 355 000 ₽</w:t>
            </w:r>
          </w:p>
        </w:tc>
        <w:tc>
          <w:tcPr>
            <w:tcW w:type="dxa" w:w="58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5 967 000 ₽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НДС внутри тарифа 5%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255 000 ₽</w:t>
            </w:r>
          </w:p>
        </w:tc>
        <w:tc>
          <w:tcPr>
            <w:tcW w:type="dxa" w:w="58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284 143 ₽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Выручка без НДС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5 100 000 ₽</w:t>
            </w:r>
          </w:p>
        </w:tc>
        <w:tc>
          <w:tcPr>
            <w:tcW w:type="dxa" w:w="58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5 682 857 ₽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ФОТ с начислениями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3 697 680 ₽</w:t>
            </w:r>
          </w:p>
        </w:tc>
        <w:tc>
          <w:tcPr>
            <w:tcW w:type="dxa" w:w="58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3 697 680 ₽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Питание и переменные расходы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918 000 ₽</w:t>
            </w:r>
          </w:p>
        </w:tc>
        <w:tc>
          <w:tcPr>
            <w:tcW w:type="dxa" w:w="58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918 000 ₽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Прочие постоянные расходы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550 000 ₽</w:t>
            </w:r>
          </w:p>
        </w:tc>
        <w:tc>
          <w:tcPr>
            <w:tcW w:type="dxa" w:w="58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550 000 ₽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Комиссии приема оплаты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53 550 ₽</w:t>
            </w:r>
          </w:p>
        </w:tc>
        <w:tc>
          <w:tcPr>
            <w:tcW w:type="dxa" w:w="58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59 670 ₽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Аренда для сравнения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200 000 ₽</w:t>
            </w:r>
          </w:p>
        </w:tc>
        <w:tc>
          <w:tcPr>
            <w:tcW w:type="dxa" w:w="58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200 000 ₽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Резерв налога УСН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51 000 ₽</w:t>
            </w:r>
          </w:p>
        </w:tc>
        <w:tc>
          <w:tcPr>
            <w:tcW w:type="dxa" w:w="58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56 829 ₽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Денежный результат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−370 230 ₽</w:t>
            </w:r>
          </w:p>
        </w:tc>
        <w:tc>
          <w:tcPr>
            <w:tcW w:type="dxa" w:w="58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+200 679 ₽</w:t>
            </w:r>
          </w:p>
        </w:tc>
      </w:tr>
    </w:tbl>
    <w:p>
      <w:pPr>
        <w:spacing w:after="20"/>
      </w:pPr>
    </w:p>
    <w:p>
      <w:r>
        <w:t>НДС 5% заложен консервативно после утраты порогового освобождения. Право на освобождение услуг по статье 149 НК РФ пока не подтверждено. УСН — управленческий месячный резерв 15% положительной расчетной прибыли, но не менее 1% чистой выручки; фактический минимальный налог годовой.</w:t>
      </w:r>
    </w:p>
    <w:p>
      <w:r>
        <w:t>При тарифе 3 500 ₽ нулевой результат требует отрицательной аренды: около −170 тысяч ₽. Это означает, что снижение аренды до нуля само по себе проблему не решает. При тарифе 3 900 ₽ математический предел аренды составляет около 400 679 ₽/месяц. Рекомендуемый ориентир переговоров — 150–200 тысяч ₽, чтобы оставить часть запаса. Это не рыночная оценка стоимости аренды и не подтвержденное согласие собственника.</w:t>
      </w:r>
    </w:p>
    <w:p>
      <w:pPr>
        <w:pStyle w:val="Heading1"/>
      </w:pPr>
      <w:r>
        <w:t>Необходимые вложения</w:t>
      </w:r>
    </w:p>
    <w:p>
      <w:r>
        <w:t>Предварительное оснащение 60 мест и служебных зон — около 11,6 млн ₽ с резервом. Предпусковые расходы — 2,0 млн ₽. Начальный запас — 0,35 млн ₽. Депозит при аренде 200 тысяч и двухмесячном обеспечении — 0,4 млн ₽. Дополнительно необходимо финансирование убытков и денежного резерва. Примечание к бюджету: включение оснащения двух дополнительных изоляционных коек и палат в оценку 11,6 млн ₽ пока не подтверждено; в следующей редакции выделить эту статью и добавить недостающую сумму без двойного учета. Числа первичной оценки здесь не пересчитываются.</w:t>
      </w:r>
    </w:p>
    <w:p>
      <w:r>
        <w:t>Стоимость доведения самого здания пока неизвестна и должна финансироваться отдельным бюджетом. Нельзя считать, что фасадная готовность равна готовности под Ф1.1. Предварительный ориентир реконструкции может составлять десятки миллионов рублей, но до обследования это не смета.</w:t>
      </w:r>
    </w:p>
    <w:p>
      <w:pPr>
        <w:pStyle w:val="Heading1"/>
      </w:pPr>
      <w:r>
        <w:t>Условия аренды</w:t>
      </w:r>
    </w:p>
    <w:p>
      <w:r>
        <w:t>Предлагается обсуждать договор после проверки пригодности: собственник обеспечивает законность реконструкции и согласованный объем капитальных работ; платежи начинаются после приемки готовности. На время работ нужны арендные каникулы. После открытия можно предложить нулевую аренду в месяцы 1–3, 100 тысяч в месяцы 4–6, 200 тысяч с месяца 7.</w:t>
      </w:r>
    </w:p>
    <w:p>
      <w:r>
        <w:t>В договоре нужны разрешенное назначение, согласие на необходимые работы, границы ответственности, учет коммунальных, условия вывески и доступа семей, предел индексации, право выхода при неподтвержденной возможности использования и порядок компенсации неотделимых улучшений. Юрист должен проверить форму договора и регистрацию.</w:t>
      </w:r>
    </w:p>
    <w:p>
      <w:pPr>
        <w:pStyle w:val="Heading1"/>
      </w:pPr>
      <w:r>
        <w:t>План запуска</w:t>
      </w:r>
    </w:p>
    <w:p>
      <w:r>
        <w:t>Сначала — актуальные документы, ВРИ и обследование; далее — планировка Ф1.1, пожарный и санитарный проекты, вместимость, смета; затем — тест спроса по полной цене. Только после прохождения этих условий: договор, работы, оснащение, штат, инструкции, приемка и открытие.</w:t>
      </w:r>
    </w:p>
    <w:p>
      <w:r>
        <w:t>До открытия необходимо запланировать ориентировочно 6–12 месяцев, но срок зависит от легализации реконструкции и обязательных работ. Десять месяцев финансовой цели отсчитываются от открытия, а не от даты этого документа.</w:t>
      </w:r>
    </w:p>
    <w:p>
      <w:pPr>
        <w:pStyle w:val="Heading1"/>
      </w:pPr>
      <w:r>
        <w:t>Что улучшить в следующей редакции</w:t>
      </w:r>
    </w:p>
    <w:p>
      <w:r>
        <w:t>Нужна помесячная модель с календарными днями, постепенным заселением, оттоком, ступенями численности персонала, НДС по календарным годам и отдельным резервом ликвидности. Следует проверить уменьшение вместимости до 48, снижение тарифа, рост зарплат и питания, отсутствие арендных каникул и круглосуточный медицинский пост. Для последнего проверить услуги лицензированного подрядчика либо собственную лицензируемую медицинскую деятельность, включая помещения, оснащение, управление качеством и связанные расходы; добавление зарплаты медсестры само по себе не легализует медицинскую деятельность.</w:t>
      </w:r>
    </w:p>
    <w:p>
      <w:r>
        <w:t>В следующем документе эти требования формализуются в улучшенном промте. Итоговый план будет создан после него с расчетной моделью и критериями решения. Источники и подробное сравнение конкурентов — в сохраненном глубоком исследовании.</w:t>
      </w:r>
    </w:p>
    <w:sectPr w:rsidR="00FC693F" w:rsidRPr="0006063C" w:rsidSect="00034616">
      <w:footerReference w:type="default" r:id="rId9"/>
      <w:pgSz w:w="12240" w:h="15840"/>
      <w:pgMar w:top="979" w:right="1037" w:bottom="979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6666"/>
        <w:sz w:val="16"/>
      </w:rPr>
      <w:t xml:space="preserve">Малаховка · Рабочий бизнес-план ·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4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/>
  <dc:subject/>
  <dc:creator/>
  <ns0:keywords/>
  <dc:description>generated by python-docx</dc:description>
  <ns0:lastModifiedBy/>
  <ns0:revision>1</ns0:revision>
  <ns2:created xsi:type="dcterms:W3CDTF">2013-12-23T23:15:00Z</ns2:created>
  <ns2:modified xsi:type="dcterms:W3CDTF">2013-12-23T23:15:00Z</ns2:modified>
  <ns0:category/>
</ns0:coreProperties>
</file>