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Итоговый бизнес-план пансионата в Малаховке</w:t>
      </w:r>
    </w:p>
    <w:p>
      <w:r>
        <w:t>Чайковского, 1 · Версия 2 по улучшенному промту · 16 сентября 2026 года</w:t>
      </w:r>
    </w:p>
    <w:p>
      <w:pPr>
        <w:pStyle w:val="Heading1"/>
      </w:pPr>
      <w:r>
        <w:t>1. Решение для инвестора и арендные условия</w:t>
      </w:r>
    </w:p>
    <w:p>
      <w:r/>
      <w:r>
        <w:rPr>
          <w:b/>
        </w:rPr>
        <w:t>Проект имеет смысл продолжать до технического обследования и проверки спроса. Подписывать безусловную аренду и начинать капитальные вложения по имеющимся материалам рано.</w:t>
      </w:r>
      <w:r>
        <w:t xml:space="preserve"> Рынок ухода с проживанием существует, но достаточный спрос именно на этот объект и приемлемость требуемого тарифа не подтверждены.</w:t>
      </w:r>
    </w:p>
    <w:p>
      <w:r>
        <w:t>Цель заказчика — месячный плюс не позднее десятого месяца после открытия. В этом плане основной показатель — денежный результат после текущих расходов, аренды, расчетного резерва налогов и платежей по кредиту. Возврат первоначальных вложений — отдельный показатель.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272"/>
      </w:tblGrid>
      <w:tr>
        <w:trPr>
          <w:tblHeader/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Показатель базы</w:t>
            </w:r>
          </w:p>
        </w:tc>
        <w:tc>
          <w:tcPr>
            <w:tcW w:type="dxa" w:w="7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Продаваемая вместимость / среднее заселение М10</w:t>
            </w:r>
          </w:p>
        </w:tc>
        <w:tc>
          <w:tcPr>
            <w:tcW w:type="dxa" w:w="7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60 мест / 51 человек, 85%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Средний тариф с учетом применимого НДС</w:t>
            </w:r>
          </w:p>
        </w:tc>
        <w:tc>
          <w:tcPr>
            <w:tcW w:type="dxa" w:w="7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3 900 ₽/сутки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Аренда с М7</w:t>
            </w:r>
          </w:p>
        </w:tc>
        <w:tc>
          <w:tcPr>
            <w:tcW w:type="dxa" w:w="7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200 000 ₽/месяц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Денежный результат М10</w:t>
            </w:r>
          </w:p>
        </w:tc>
        <w:tc>
          <w:tcPr>
            <w:tcW w:type="dxa" w:w="7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+202 779 ₽</w:t>
            </w: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После условной амортизации оснащения</w:t>
            </w:r>
          </w:p>
        </w:tc>
        <w:tc>
          <w:tcPr>
            <w:tcW w:type="dxa" w:w="7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+4 837 ₽</w:t>
            </w:r>
            <w:r>
              <w:rPr>
                <w:b w:val="0"/>
                <w:sz w:val="18"/>
              </w:rPr>
              <w:t xml:space="preserve"> — почти нулевая прибыль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Первый положительный месяц</w:t>
            </w:r>
          </w:p>
        </w:tc>
        <w:tc>
          <w:tcPr>
            <w:tcW w:type="dxa" w:w="7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М9; в М10–М12 плюс сохраняется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Математический предел аренды М10–М12</w:t>
            </w:r>
          </w:p>
        </w:tc>
        <w:tc>
          <w:tcPr>
            <w:tcW w:type="dxa" w:w="7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402 779 ₽, без запаса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Аренда для денежного плюса 300 тыс. ₽ в М10</w:t>
            </w:r>
          </w:p>
        </w:tc>
        <w:tc>
          <w:tcPr>
            <w:tcW w:type="dxa" w:w="7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Не более 102 779 ₽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Финансирование оператора с резервом</w:t>
            </w:r>
          </w:p>
        </w:tc>
        <w:tc>
          <w:tcPr>
            <w:tcW w:type="dxa" w:w="7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22,63 млн ₽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Возврат первоначальных вложений</w:t>
            </w:r>
          </w:p>
        </w:tc>
        <w:tc>
          <w:tcPr>
            <w:tcW w:type="dxa" w:w="7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За 24 месяца в базе не достигается</w:t>
            </w:r>
          </w:p>
        </w:tc>
      </w:tr>
    </w:tbl>
    <w:p>
      <w:pPr>
        <w:spacing w:after="20"/>
      </w:pPr>
    </w:p>
    <w:p>
      <w:r>
        <w:t xml:space="preserve">Для большей устойчивости переговоры стоит начинать с </w:t>
      </w:r>
      <w:r>
        <w:rPr>
          <w:b/>
        </w:rPr>
        <w:t>100–150 тыс. ₽</w:t>
      </w:r>
      <w:r>
        <w:t>, а 200 тыс. ₽ рассматривать как верхнюю рабочую ставку при подтверждении остальных условий. Потолок около 403 тыс. ₽ означает лишь нулевой денежный результат и для договора не рекомендуется.</w:t>
      </w:r>
    </w:p>
    <w:p>
      <w:r/>
      <w:r>
        <w:rPr>
          <w:b/>
        </w:rPr>
        <w:t>Предложение для переговоров:</w:t>
      </w:r>
      <w:r>
        <w:t xml:space="preserve"> аренда 150–200 тыс. ₽ в месяц при передаче собственником полностью пригодного и законно введенного здания; до открытия — отдельные каникулы на согласованный период подготовки; после открытия — ноль в М1–М3, половина постоянной ставки в М4–М6, полная ставка с М7. Для расчета выбраны 200 тыс. ₽ и индексация 5% с М13. Это предложение, а не согласованные условия.</w:t>
      </w:r>
    </w:p>
    <w:p>
      <w:r>
        <w:t xml:space="preserve">Платеж включает невозмещаемый НДС арендодателя, если он возникает; коммунальные услуги оплачиваются отдельно и уже заложены в расходах. Ориентир 150–200 тыс. ₽ соответствует примерно 81–109 ₽/м² общей проектной площади в месяц. Это </w:t>
      </w:r>
      <w:r>
        <w:rPr>
          <w:b/>
        </w:rPr>
        <w:t>расчетная платежеспособность оператора</w:t>
      </w:r>
      <w:r>
        <w:t>, а не оценка рыночной аренды объекта.</w:t>
      </w:r>
    </w:p>
    <w:p>
      <w:pPr>
        <w:pStyle w:val="Heading2"/>
      </w:pPr>
      <w:r>
        <w:t>Обязательные условия решения «открывать»</w:t>
      </w:r>
    </w:p>
    <w:p>
      <w:pPr>
        <w:pStyle w:val="ListBullet"/>
      </w:pPr>
      <w:r>
        <w:t>Письменное заключение профильных проектировщиков о возможности Ф1.1, этажности, огнестойкости, эвакуации и разрешенной вместимости.</w:t>
      </w:r>
    </w:p>
    <w:p>
      <w:pPr>
        <w:pStyle w:val="ListBullet"/>
      </w:pPr>
      <w:r>
        <w:t>Законное использование участка и здания, оформленная реконструкция, завершенные инженерные системы.</w:t>
      </w:r>
    </w:p>
    <w:p>
      <w:pPr>
        <w:pStyle w:val="ListBullet"/>
      </w:pPr>
      <w:r>
        <w:t>Подтверждение 60 постоянных продаваемых мест и дополнительно двух изоляционных коек в двух отдельных палатах. Изолятор включен в площади и оснащение, но не в выручку.</w:t>
      </w:r>
    </w:p>
    <w:p>
      <w:pPr>
        <w:pStyle w:val="ListBullet"/>
      </w:pPr>
      <w:r>
        <w:t>Проверка готовности семей платить средний фактический тариф 3 900 ₽/сутки за заявленный состав услуг.</w:t>
      </w:r>
    </w:p>
    <w:p>
      <w:pPr>
        <w:pStyle w:val="ListBullet"/>
      </w:pPr>
      <w:r>
        <w:t>Согласованное финансирование реконструкции собственником и достаточные деньги оператора до устойчивого заселения.</w:t>
      </w:r>
    </w:p>
    <w:p>
      <w:pPr>
        <w:pStyle w:val="Heading1"/>
      </w:pPr>
      <w:r>
        <w:t>2. Что подтверждено об объекте и что мешает запуску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1944"/>
        <w:gridCol w:w="5832"/>
      </w:tblGrid>
      <w:tr>
        <w:trPr>
          <w:tblHeader/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Подтвержденный материал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Значение для проекта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Здание по выписке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Нежилое, бывший техникум; 903,8 м²; 2 этажа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Нельзя считать всю реконструированную площадь юридически оформленной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Земля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3 390 м²; административное и амбулаторно-поликлиническое использование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Требуется проверка ПЗЗ, ГПЗУ и допустимости социального обслуживания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АР 2024 года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Общая площадь 1 843,1 м²; помещения 1 665,2 м²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Проектный показатель, не обмер и не документ ввода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Объем здания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Подвал, два этажа, мансарда; оси 33,59 × 25,49 м; высота 13,54 м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Мансарда и доступность верхних этажей требуют отдельного решения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Пожарные характеристики АР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Ф3.4, С1; встречаются III и IV степени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Исходный проект не подтверждает пригодность пансионата Ф1.1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Фото и видео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Незавершенные внутренние работы и благоустройство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Срок запуска и стоимость доведения нельзя подтвердить без обследования</w:t>
            </w:r>
          </w:p>
        </w:tc>
      </w:tr>
    </w:tbl>
    <w:p>
      <w:pPr>
        <w:spacing w:after="20"/>
      </w:pPr>
    </w:p>
    <w:p>
      <w:r>
        <w:t>При суммировании площадей помещений по этажам получается 1 665,1 м², тогда как итог АР — 1 665,2 м². Разница 0,1 м² не влияет на экономику, но подтверждает необходимость рабочего обмера. Планировку, размещение инженерии, дверные проемы и состояние конструкций по фотографиям не удостоверяли.</w:t>
      </w:r>
    </w:p>
    <w:p>
      <w:pPr>
        <w:pStyle w:val="Heading2"/>
      </w:pPr>
      <w:r>
        <w:t>Проверки до арендного обязательства</w:t>
      </w:r>
    </w:p>
    <w:p>
      <w:r>
        <w:t>1. Собственник предоставляет актуальные выписки на землю и здание, документы реконструкции, разрешения и ввод, технический план, условия подключения и документы на мощности.</w:t>
      </w:r>
    </w:p>
    <w:p>
      <w:r>
        <w:t>2. Архитектор и пожарный проектировщик проверяют смену назначения на Ф1.1. Для многоэтажных домов престарелых СП 2.13130.2020, п. 6.7.19, отсылает к требованиям стационаров: для зданий высотой два этажа и более — не ниже II степени огнестойкости и класса С0. Существующие сведения III/IV и С1 не позволяют считать условие выполненным.</w:t>
      </w:r>
    </w:p>
    <w:p>
      <w:r>
        <w:t>3. Проектировщики определяют законное число проживающих, доступность этажей, необходимость и тип лифта, ширину путей, пожарные отсеки и систему эвакуации маломобильных людей. Лифт сам по себе не заменяет эвакуацию.</w:t>
      </w:r>
    </w:p>
    <w:p>
      <w:r>
        <w:t>4. Юрист проверяет ВРИ 3.2.1 или иной применимый допустимый вид, долгосрочную аренду и защиту вложений оператора. Наличие в ВРИ поликлиники не означает разрешение круглосуточного проживания.</w:t>
      </w:r>
    </w:p>
    <w:p>
      <w:r>
        <w:t>До положительного завершения этих пунктов затраты ограничивать обследованием, проектной оценкой и проверкой рынка. Отсутствие возможности законной реконструкции — основание прекратить проект.</w:t>
      </w:r>
    </w:p>
    <w:p>
      <w:pPr>
        <w:pStyle w:val="Heading1"/>
      </w:pPr>
      <w:r>
        <w:t>3. Спрос, конкуренты и продукт</w:t>
      </w:r>
    </w:p>
    <w:p>
      <w:r>
        <w:t>Глубокое исследование содержит 14 предложений, включая два с недостаточно надежной актуальностью, и 46 источников. Проверка — кабинетная на 16.09.2026: сайты операторов и официальные публикации; звонки, тайные покупки и рекламная кампания не проводились.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1944"/>
        <w:gridCol w:w="5832"/>
      </w:tblGrid>
      <w:tr>
        <w:trPr>
          <w:tblHeader/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Сегмент / пример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Публичная цена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Вывод для нашего предложения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Местный бюджет: «Виктория», Малаховка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От 1 350 ₽; двухместное с помощью около 1 900–2 000 ₽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Сильное ценовое давление; минимум ограничен условиями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«Забота», Новокосино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Двухместное 2 800–3 150 ₽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Ближайший более дешевый сетевой ориентир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«Забота», Раменский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Двухместное 3 600–3 950 ₽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Поддерживает возможность проверки тарифа около 3 900 ₽, но не гарантирует спрос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«Забота», «Золотой возраст»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Трехместное от 4 000 ₽; двухместное от 5 000 ₽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Более высокий уровень комфорта и оснащения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«Опека», Москва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От 4 900–5 100 ₽, включая временные акции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Московское предложение нельзя автоматически переносить на Малаховку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Senior Group, Малаховка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Двухместное от 8 500 ₽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Медицинский премиум; иная услуга и структура затрат</w:t>
            </w:r>
          </w:p>
        </w:tc>
      </w:tr>
    </w:tbl>
    <w:p>
      <w:pPr>
        <w:spacing w:after="20"/>
      </w:pPr>
    </w:p>
    <w:p>
      <w:r>
        <w:t>СФР сообщал о более чем 656 тыс. получателей выплат в возрасте 80+ в Москве и Московской области в сентябре 2025 года. Это подтверждает масштаб возрастной группы, но не число покупателей частного стационарного ухода. Свободные места и загрузка конкурентов не установлены. Государственное обслуживание, сиделка на дому и помощь родственников также конкурируют за бюджет семьи.</w:t>
      </w:r>
    </w:p>
    <w:p>
      <w:r/>
      <w:r>
        <w:rPr>
          <w:b/>
        </w:rPr>
        <w:t>Предлагаемый продукт:</w:t>
      </w:r>
      <w:r>
        <w:t xml:space="preserve"> постоянное и временное проживание, помощь в повседневных действиях, питание, безопасное передвижение, гигиена, досуг, связь с семьей и медицинская маршрутизация. Прием — после оценки зависимости и ресурсов ухода. Случаи, требующие круглосуточных медицинских вмешательств, специального наблюдения или госпитализации, принимаются только при соответствующей разрешенной модели и достаточном штате.</w:t>
      </w:r>
    </w:p>
    <w:p>
      <w:r>
        <w:t xml:space="preserve">Цена 3 900 ₽ — средняя реализованная, включая скидки и НДС, если он применяется; 117 тыс. ₽ за 30 дней, 120,9 тыс. ₽ за 31 день. Это </w:t>
      </w:r>
      <w:r>
        <w:rPr>
          <w:b/>
        </w:rPr>
        <w:t>гипотеза</w:t>
      </w:r>
      <w:r>
        <w:t>, а не установленный рыночный средний чек. Возможная структура продаж: 30% по 3 400 ₽, 60% по 4 000 ₽ и 10% по 4 800 ₽ дает средние 3 900 ₽. Дорогой пакет не означает автоматического разрешения на тяжелый медицинский уход.</w:t>
      </w:r>
    </w:p>
    <w:p>
      <w:r>
        <w:t>В договоре отдельно согласовать индивидуальные лекарства, специальные смеси, подгузники, индивидуальный пост, обследования и транспорт. Их нельзя рекламировать включенными, а затем неожиданно выставлять семье. Доход от таких доплат в модель не включен; обычная гигиена и питание включены.</w:t>
      </w:r>
    </w:p>
    <w:p>
      <w:pPr>
        <w:pStyle w:val="Heading2"/>
      </w:pPr>
      <w:r>
        <w:t>Как проверить спрос до капитальных обязательств</w:t>
      </w:r>
    </w:p>
    <w:p>
      <w:r>
        <w:t>За 4–6 недель провести 30–40 интервью с потенциальными плательщиками из Малаховки–Люберец, Жуковского–Раменского и юго-востока Москвы. Сравнить полную месячную цену на одном профиле ухода с 8–10 объектами. Тестовый рекламный бюджет 150–250 тыс. ₽ входит в предпусковые расходы, а не добавляется к ним повторно.</w:t>
      </w:r>
    </w:p>
    <w:p>
      <w:r>
        <w:t>Оценивать уникальные квалифицированные обращения, посещения, готовность заключить договор по полной цене и причины отказа. При оттоке 5% в месяц базовому плану нужно около 57 новых заселений за М1–М10 сверх 12 жителей на открытии. При осторожной конверсии 10%, принятой в Excel, это примерно 571 квалифицированное обращение за период и еще 120 до открытия. Если тест подтвердит 20%, потребность сократится примерно до 286 и 60 соответственно. Рекламные лиды и подписанные договоры не равнозначны.</w:t>
      </w:r>
    </w:p>
    <w:p>
      <w:r>
        <w:t>Бюджет маркетинга после открытия — 180 тыс. ₽/месяц. При 5,7 заселения в месяц это около 31,6 тыс. ₽ затрат на привлечение одного заселения, если все заселения отнести к этому бюджету. Снижение конверсии или ускорение оттока требует нового расчета. Не принимать невозвратные платежи за запуск, который еще не обеспечен документами.</w:t>
      </w:r>
    </w:p>
    <w:p>
      <w:pPr>
        <w:pStyle w:val="Heading1"/>
      </w:pPr>
      <w:r>
        <w:t>4. Пространственная концепция и организация ухода</w:t>
      </w:r>
    </w:p>
    <w:p>
      <w:r>
        <w:t>60 мест — расчетная гипотеза. Распределение 24 места на первом этаже, 24 на втором и 12 в мансарде является заданием для проверки архитектором, а не разрешенной планировкой. Подвал исключен из жилых комнат. При запрете проживания в мансарде проверяется вариант 48 мест. Две палаты изолятора предусматриваются дополнительно.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1944"/>
        <w:gridCol w:w="5832"/>
      </w:tblGrid>
      <w:tr>
        <w:trPr>
          <w:tblHeader/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Функция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Предварительное задание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Что проверить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Постоянное проживание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Комнаты на 1–3 человека; преимущественно двухместные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Площади по категориям мобильности, свет, санузлы, двери, эвакуация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Прием и изоляция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Отдельный приемный поток; 2 палаты по 1 изоляционной койке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Вход, санитарные связи, возможность безопасного ухода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Питание и общие зоны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Кухня, хранение, столовая, гостиные, занятия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Чистые и грязные потоки, мощности, пожарные границы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Персонал и хозяйство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Посты, комнаты работников, белье, уборочный инвентарь, отходы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Разделение потоков и реальная вместимость служебных помещений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Вертикальная связь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Доступность этажей для выбранного профиля жителей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Проект лифта/подъемника, носилочная логистика; отдельное решение эвакуации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Территория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Прогулочная петля, места отдыха, доступный вход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Границы, уклоны, покрытие, пожарный проезд, освещение</w:t>
            </w:r>
          </w:p>
        </w:tc>
      </w:tr>
    </w:tbl>
    <w:p>
      <w:pPr>
        <w:spacing w:after="20"/>
      </w:pPr>
    </w:p>
    <w:p>
      <w:r>
        <w:t xml:space="preserve">Действующие с 01.09.2026 СП 2.1.4284-26 предусматривают, в частности, спальни на 1–3 человека, условия перемещения между этажами и изоляционные палаты. При </w:t>
      </w:r>
      <w:r>
        <w:rPr>
          <w:b/>
        </w:rPr>
        <w:t>менее 100 проживающих</w:t>
      </w:r>
      <w:r>
        <w:t xml:space="preserve"> требуется не менее двух изоляционных коек и не менее двух палат; при 100 и более — уже не менее четырех коек. Старые четырех- и пятиместные предложения конкурентов не являются шаблоном для нового объекта.</w:t>
      </w:r>
    </w:p>
    <w:p>
      <w:r>
        <w:t>Переходные положения для ранее введенных или начатых объектов не следует считать автоматическим разрешением смены назначения бывшего техникума. Применимость к конкретной реконструкции должна быть обоснована проектировщиком.</w:t>
      </w:r>
    </w:p>
    <w:p>
      <w:pPr>
        <w:pStyle w:val="Heading2"/>
      </w:pPr>
      <w:r>
        <w:t>Рабочие процессы</w:t>
      </w:r>
    </w:p>
    <w:p>
      <w:r>
        <w:t>До заселения — оценка состояния, потребности в помощи и соответствия возможностям пансионата; понятный договор с плательщиком и законные основания обработки данных. При приеме — инвентаризация вещей, индивидуальный план ухода, контакты родственников и порядок экстренной помощи.</w:t>
      </w:r>
    </w:p>
    <w:p>
      <w:r>
        <w:t>Ежедневно — передача смены, питание и питьевой режим, помощь в гигиене и перемещении, контроль обращений, журнал происшествий и информирование семьи. Поддержку приема назначенных лекарств и любые манипуляции разграничить с медицинским партнером и юристом. Сам факт найма человека с медицинским дипломом не заменяет лицензию.</w:t>
      </w:r>
    </w:p>
    <w:p>
      <w:r>
        <w:t>Ключевые показатели: инциденты и падения, пролежни, своевременность реагирования, жалобы, текучесть работников, незакрытые смены, отток жителей и фактическая выручка на проживающего. Нельзя повышать заселение сверх безопасной мощности ухода.</w:t>
      </w:r>
    </w:p>
    <w:p>
      <w:pPr>
        <w:pStyle w:val="Heading1"/>
      </w:pPr>
      <w:r>
        <w:t>5. Штат и текущая себестоимость</w:t>
      </w:r>
    </w:p>
    <w:p>
      <w:r>
        <w:t>Посты ухода: днем один работник на 10 жителей, ночью на 20; минимум два поста и не меньше числа действующих жилых этажей. Расчет по максимуму числа жителей на начало и конец месяца; переход на очередной этаж условно каждые 24 жителя. Это инженерно-экономическая гипотеза, а не установленный норматив достаточности.</w:t>
      </w:r>
    </w:p>
    <w:p>
      <w:r>
        <w:t>Ставки ухода = округление вверх ((дневные + ночные посты) × 12 часов × календарные дни / 160 часов × 1,15). Резерв 15% учитывает замены, однако реальный график, отпуска, больничные и тяжесть ухода подлежат проверке руководителем службы. Один сотрудник не приравнен к круглосуточному посту.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1944"/>
        <w:gridCol w:w="5832"/>
      </w:tblGrid>
      <w:tr>
        <w:trPr>
          <w:tblHeader/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Вспомогательная роль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Ставки × gross в месяц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Фонд, ₽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Управляющий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 × 130 000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130 000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Руководитель ухода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 × 95 000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95 000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Администратор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 × 90 000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90 000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Повара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2,5 × 80 000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200 000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Кухонные работники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2,5 × 60 000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150 000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Уборка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3 × 60 000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180 000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Досуг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0,5 × 70 000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35 000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Техническое обслуживание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0,5 × 80 000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40 000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Итого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12 ставок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920 000</w:t>
            </w:r>
          </w:p>
        </w:tc>
      </w:tr>
    </w:tbl>
    <w:p>
      <w:pPr>
        <w:spacing w:after="20"/>
      </w:pPr>
    </w:p>
    <w:p>
      <w:r>
        <w:t>Уход — 80 тыс. ₽ gross на ставку. В М10 базового плана требуются 6 дневных и 3 ночных поста, 24 ставки ухода; вместе со вспомогательными — 36 ставок. Gross 2,84 млн ₽ плюс 30,2% страховых начислений дает 3,698 млн ₽ в месяц. Руководитель ухода не используется для закрытия постоянного дефицита рядовых смен.</w:t>
      </w:r>
    </w:p>
    <w:p>
      <w:pPr>
        <w:pStyle w:val="Heading2"/>
      </w:pPr>
      <w:r>
        <w:t>Прочие расходы</w:t>
      </w:r>
    </w:p>
    <w:p>
      <w:pPr>
        <w:pStyle w:val="ListBullet"/>
      </w:pPr>
      <w:r>
        <w:t>На жителя в сутки: питание 380 ₽, стирка 60 ₽, обычная гигиена 90 ₽ — всего 530 ₽. Специальные индивидуальные расходы оговариваются отдельно.</w:t>
      </w:r>
    </w:p>
    <w:p>
      <w:pPr>
        <w:pStyle w:val="ListBullet"/>
      </w:pPr>
      <w:r>
        <w:t>Питание работников: отдельный фиксированный бюджет 3 500 ₽ в сутки. Это предотвращает занижение расходов в первые месяцы малого заселения.</w:t>
      </w:r>
    </w:p>
    <w:p>
      <w:pPr>
        <w:pStyle w:val="ListBullet"/>
      </w:pPr>
      <w:r>
        <w:t>Постоянно в месяц: коммунальные 150 тыс. ₽; маркетинг 180 тыс.; медицинский партнер 100 тыс.; бухгалтерия и IT 35 тыс.; отходы и санитарная обработка 30 тыс.; текущий ремонт 40 тыс.; страхование 15 тыс. Итого 550 тыс. ₽.</w:t>
      </w:r>
    </w:p>
    <w:p>
      <w:pPr>
        <w:pStyle w:val="ListBullet"/>
      </w:pPr>
      <w:r>
        <w:t>Комиссии платежей — 1% клиентской выручки; аренда — по ступеням. Все ставки требуют коммерческих предложений.</w:t>
      </w:r>
    </w:p>
    <w:p>
      <w:pPr>
        <w:pStyle w:val="ListBullet"/>
      </w:pPr>
      <w:r>
        <w:t>С М13: зарплаты +7%, тариф и прочие расходы +6%, аренда +5%. Кредит в базе отсутствует.</w:t>
      </w:r>
    </w:p>
    <w:p>
      <w:r>
        <w:t xml:space="preserve">100 тыс. ₽ на медицинского партнера — плановый договорный бюджет, </w:t>
      </w:r>
      <w:r>
        <w:rPr>
          <w:b/>
        </w:rPr>
        <w:t>не круглосуточный медицинский пост</w:t>
      </w:r>
      <w:r>
        <w:t>. Отдельный стресс-сценарий добавляет 700 тыс. ₽ в месяц на пост лицензированного подрядчика либо собственную лицензируемую деятельность. Помещения, оснащение и система качества при собственной лицензии оцениваются дополнительно.</w:t>
      </w:r>
    </w:p>
    <w:p>
      <w:pPr>
        <w:pStyle w:val="Heading1"/>
      </w:pPr>
      <w:r>
        <w:t>6. Финансовая модель: месяцы, сценарии и аренда</w:t>
      </w:r>
    </w:p>
    <w:p>
      <w:r>
        <w:t>Расчет на 24 месяца сохранен в Excel. Один переключатель сценария управляет единым помесячным расчетом. Дата открытия 01.07.2027 — техническое допущение для числа дней и налогового календаря, а не подтвержденный срок завершения работ. Начальное заселение — 12 человек; в М10 в среднем 51 и 52 на конец.</w:t>
      </w:r>
    </w:p>
    <w:p>
      <w:r>
        <w:t>Все денежные суммы в таблице — тыс. ₽. Выручка клиентская, включая применимый НДС; денежный результат — после его выделения и налогового резерва.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2"/>
        <w:gridCol w:w="1692"/>
        <w:gridCol w:w="1692"/>
        <w:gridCol w:w="1692"/>
        <w:gridCol w:w="1692"/>
        <w:gridCol w:w="1692"/>
      </w:tblGrid>
      <w:tr>
        <w:trPr>
          <w:tblHeader/>
          <w:cantSplit/>
        </w:trPr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Месяц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Жители в среднем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Выручка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Уход, ставки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Аренда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Денежный результат</w:t>
            </w:r>
          </w:p>
        </w:tc>
      </w:tr>
      <w:tr>
        <w:trPr>
          <w:cantSplit/>
        </w:trPr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М1 · 07.2027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15,0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1 813,5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0,0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-1 471,3</w:t>
            </w:r>
          </w:p>
        </w:tc>
      </w:tr>
      <w:tr>
        <w:trPr>
          <w:cantSplit/>
        </w:trPr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М2 · 08.2027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21,0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2 538,9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0,0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-1 171,5</w:t>
            </w:r>
          </w:p>
        </w:tc>
      </w:tr>
      <w:tr>
        <w:trPr>
          <w:cantSplit/>
        </w:trPr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М3 · 09.2027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27,0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3 159,0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0,0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-540,4</w:t>
            </w:r>
          </w:p>
        </w:tc>
      </w:tr>
      <w:tr>
        <w:trPr>
          <w:cantSplit/>
        </w:trPr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М4 · 10.2027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32,0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3 868,8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100,0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-461,4</w:t>
            </w:r>
          </w:p>
        </w:tc>
      </w:tr>
      <w:tr>
        <w:trPr>
          <w:cantSplit/>
        </w:trPr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М5 · 11.2027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36,0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4 212,0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100,0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-64,0</w:t>
            </w:r>
          </w:p>
        </w:tc>
      </w:tr>
      <w:tr>
        <w:trPr>
          <w:cantSplit/>
        </w:trPr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М6 · 12.2027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40,0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4 836,0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100,0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-165,8</w:t>
            </w:r>
          </w:p>
        </w:tc>
      </w:tr>
      <w:tr>
        <w:trPr>
          <w:cantSplit/>
        </w:trPr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М7 · 01.2028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43,5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5 259,2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200,0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-156,5</w:t>
            </w:r>
          </w:p>
        </w:tc>
      </w:tr>
      <w:tr>
        <w:trPr>
          <w:cantSplit/>
        </w:trPr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М8 · 02.2028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46,5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5 259,2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200,0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-45,4</w:t>
            </w:r>
          </w:p>
        </w:tc>
      </w:tr>
      <w:tr>
        <w:trPr>
          <w:cantSplit/>
        </w:trPr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М9 · 03.2028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49,0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5 924,1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200,0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365,4</w:t>
            </w:r>
          </w:p>
        </w:tc>
      </w:tr>
      <w:tr>
        <w:trPr>
          <w:cantSplit/>
        </w:trPr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М10 · 04.2028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51,0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5 967,0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200,0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202,8</w:t>
            </w:r>
          </w:p>
        </w:tc>
      </w:tr>
      <w:tr>
        <w:trPr>
          <w:cantSplit/>
        </w:trPr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М11 · 05.2028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53,0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6 407,7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200,0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431,3</w:t>
            </w:r>
          </w:p>
        </w:tc>
      </w:tr>
      <w:tr>
        <w:trPr>
          <w:cantSplit/>
        </w:trPr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М12 · 06.2028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54,0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6 318,0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200,0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461,3</w:t>
            </w:r>
          </w:p>
        </w:tc>
      </w:tr>
    </w:tbl>
    <w:p>
      <w:pPr>
        <w:spacing w:after="20"/>
      </w:pPr>
    </w:p>
    <w:p>
      <w:r>
        <w:t xml:space="preserve">Суммарный денежный результат М1–М12: </w:t>
      </w:r>
      <w:r>
        <w:rPr>
          <w:b/>
        </w:rPr>
        <w:t>-2,62 млн ₽</w:t>
      </w:r>
      <w:r>
        <w:t xml:space="preserve">; М13–М24: </w:t>
      </w:r>
      <w:r>
        <w:rPr>
          <w:b/>
        </w:rPr>
        <w:t>+5,79 млн ₽</w:t>
      </w:r>
      <w:r>
        <w:t>. За 24 месяца деятельность дает +3,17 млн ₽ до возмещения первоначальных вложений.</w:t>
      </w:r>
    </w:p>
    <w:p>
      <w:r>
        <w:t>Положительный отдельный месяц не означает, что накопленные убытки покрыты. Решение о постоянной аренде принимать по результатам М10–М12, сезонным расходам и запасу ликвидности.</w:t>
      </w:r>
    </w:p>
    <w:p>
      <w:pPr>
        <w:pStyle w:val="Heading2"/>
      </w:pPr>
      <w:r>
        <w:t>Сравнение сценариев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1728"/>
        <w:gridCol w:w="1584"/>
        <w:gridCol w:w="1440"/>
        <w:gridCol w:w="3312"/>
      </w:tblGrid>
      <w:tr>
        <w:trPr>
          <w:tblHeader/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Сценарий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Вместимость; тариф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Средние жители М10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Денежный результат М10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Предел аренды М10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Базовый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60; 3 900 ₽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51,0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202,8 тыс. ₽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402,8 тыс. ₽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Неблагоприятный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48; 3 300 ₽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34,0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-1 328,9 тыс. ₽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-1 128,9 тыс. ₽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Благоприятный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60; 4 300 ₽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56,0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1 160,0 тыс. ₽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1 495,9 тыс. ₽</w:t>
            </w:r>
          </w:p>
        </w:tc>
      </w:tr>
    </w:tbl>
    <w:p>
      <w:pPr>
        <w:spacing w:after="20"/>
      </w:pPr>
    </w:p>
    <w:p>
      <w:r>
        <w:t>Неблагоприятный сценарий одновременно снижает вместимость и цену, замедляет заселение, повышает зарплаты и переменные расходы; он показывает совместный риск, а не прогноз вероятности. Благоприятный сценарий также не является обещанием.</w:t>
      </w:r>
    </w:p>
    <w:p>
      <w:pPr>
        <w:pStyle w:val="Heading2"/>
      </w:pPr>
      <w:r>
        <w:t>Предел аренды</w:t>
      </w:r>
    </w:p>
    <w:p>
      <w:r>
        <w:t>Пусть A — выручка без НДС минус все текущие расходы, кроме аренды; D — месячный платеж по кредиту; N — выручка без НДС. При налоговом резерве max(15% положительного результата; 1% N) математический предел аренды для нулевого денежного результата:</w:t>
      </w:r>
    </w:p>
    <w:p>
      <w:r/>
      <w:r>
        <w:rPr>
          <w:b/>
        </w:rPr>
        <w:t>Rmax = A − max(D / 0,85; D + 0,01 × N).</w:t>
      </w:r>
      <w:r/>
    </w:p>
    <w:p>
      <w:r>
        <w:t>Для запаса денежного плюса P подставляется D + P вместо D. При отрицательном Rmax проект убыточен даже при нулевой аренде. Расчет не оценивает доходность вложений собственника.</w:t>
      </w:r>
    </w:p>
    <w:p>
      <w:r>
        <w:t>В базе аренда 200 тыс. ₽ дает +202,8 тыс. ₽ в М10; 250 тыс. ₽ — около +152,8 тыс. ₽, но результат после амортизации становится отрицательным. Для денежного запаса 300 тыс. ₽ требуется аренда не выше 102,8 тыс. ₽. При аренде 150 тыс. ₽ денежный результат М10 около +252,8 тыс. ₽.</w:t>
      </w:r>
    </w:p>
    <w:p>
      <w:r>
        <w:t xml:space="preserve">Вариант 48 мест при сопоставимой загрузке дает 41 среднего жителя: М10 −191,0 тыс. ₽ при аренде 200 тыс. ₽. Его предел аренды М10 — всего 9,0 тыс. ₽, а минимум М10–М12 уже </w:t>
      </w:r>
      <w:r>
        <w:rPr>
          <w:b/>
        </w:rPr>
        <w:t>−30,7 тыс. ₽</w:t>
      </w:r>
      <w:r>
        <w:t>: устойчивая положительная аренда при таком наборе условий отсутствует.</w:t>
      </w:r>
    </w:p>
    <w:p>
      <w:pPr>
        <w:pStyle w:val="Heading1"/>
      </w:pPr>
      <w:r>
        <w:t>7. Налоги, прибыль и устойчивость результата</w:t>
      </w:r>
    </w:p>
    <w:p>
      <w:r>
        <w:t>Используется УСН «доходы минус расходы» 15%. Ставка 10% в Московской области для определенной деятельности и структуры доходов, а также льготные взносы могут улучшить результат, но без проверки условий в базу не включены. Начисления на зарплату — консервативные 30,2%.</w:t>
      </w:r>
    </w:p>
    <w:p>
      <w:r>
        <w:t xml:space="preserve">В модель включен НДС 5% </w:t>
      </w:r>
      <w:r>
        <w:rPr>
          <w:b/>
        </w:rPr>
        <w:t>внутри</w:t>
      </w:r>
      <w:r>
        <w:t xml:space="preserve"> объявленного тарифа после утраты порогового освобождения. Порог 20 млн ₽ по действующему на 16.09.2026 законодательству проверяется по календарному и предыдущему году; другие доходы того же оператора вводятся отдельно. При базовом открытии в июле 2027 года порог превышается за первые шесть месяцев, поэтому НДС возникает с января 2028 года. Дата открытия меняет этот результат.</w:t>
      </w:r>
    </w:p>
    <w:p>
      <w:r>
        <w:t>Освобождение услуг по статье 149 НК РФ возможно при выполнении предусмотренных условий и подтверждающих документах. Оно не возникает только из названия «пансионат» или ОКВЭД. В Excel есть отдельный переключатель подтвержденного освобождения; по умолчанию он выключен.</w:t>
      </w:r>
    </w:p>
    <w:p>
      <w:r>
        <w:t>Месячный резерв налога — управленческое приближение: максимум 15% положительного расчетного результата и 1% выручки без НДС. Минимальный налог УСН рассчитывается по году, налоговые платежи имеют иной календарь; первоначальные расходы, признание основных средств и перенос убытков здесь не моделируются как полноценная налоговая декларация. Резерв обеспечивает осторожную оценку денежных потребностей.</w:t>
      </w:r>
    </w:p>
    <w:p>
      <w:r>
        <w:t>Денежный результат не равен бухгалтерской прибыли. Для дополнительной проверки стоимость оснащения с резервом условно распределена на 60 месяцев. Это управленческая амортизация, не налоговый срок по каждому активу. Депозит и неиспользованный остаток денег расходом не признаются.</w:t>
      </w:r>
    </w:p>
    <w:p>
      <w:r>
        <w:t xml:space="preserve">В М10 выручка 5,967 млн ₽, НДС 284,1 тыс. ₽, выручка без НДС 5,683 млн ₽, текущие денежные расходы с арендой 5,423 млн ₽, результат до амортизации и налога 259,6 тыс. ₽. Налоговый резерв 56,8 тыс. ₽ оставляет 202,8 тыс. ₽ денег. Условная амортизация 197,9 тыс. ₽ уменьшает управленческий результат до </w:t>
      </w:r>
      <w:r>
        <w:rPr>
          <w:b/>
        </w:rPr>
        <w:t>4,8 тыс. ₽</w:t>
      </w:r>
      <w:r>
        <w:t>. Поэтому рост аренды или затрат на небольшую сумму может превратить учетную прибыль в убыток.</w:t>
      </w:r>
    </w:p>
    <w:p>
      <w:pPr>
        <w:pStyle w:val="Heading2"/>
      </w:pPr>
      <w:r>
        <w:t>Чувствительность: изменение одного условия</w:t>
      </w:r>
    </w:p>
    <w:p>
      <w:r>
        <w:t>Суммы — тыс. ₽ в М10, при аренде 200 тыс. ₽. Предел — аренда для нулевого денежного результата именно М10.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1944"/>
        <w:gridCol w:w="5832"/>
      </w:tblGrid>
      <w:tr>
        <w:trPr>
          <w:tblHeader/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Изменение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Денежный результат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Предел аренды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Тариф 3 300 ₽; НДС в М10 еще нет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-415,6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-215,6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Тариф 3 500 ₽; НДС в М10 еще нет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-115,7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84,3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Тариф 3 700 ₽; НДС в М10 еще нет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184,2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384,2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База: 3 900 ₽; НДС 5%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202,8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402,8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Тариф 4 300 ₽; НДС 5%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710,9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973,7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Все зарплаты +10%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-167,0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33,0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Расходы на жителей +20%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40,6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240,6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Освобождение от НДС подтверждено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462,2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684,1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Дополнительный медицинский пост +700 тыс.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-497,2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-297,2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Платеж по кредиту 300 тыс.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-97,2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102,8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Без каникул после открытия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202,8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402,8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48 мест, сопоставимая загрузка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-191,0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9,0</w:t>
            </w:r>
          </w:p>
        </w:tc>
      </w:tr>
    </w:tbl>
    <w:p>
      <w:pPr>
        <w:spacing w:after="20"/>
      </w:pPr>
    </w:p>
    <w:p>
      <w:r>
        <w:t>Цена влияет и на дату возникновения НДС: при 3 500/3 700 ₽ он появляется с М11, при 3 900 ₽ — уже с М7. Поэтому сравнение не является простой линейной зависимостью. При 3 500 ₽ минимальный предел аренды за М10–М12 — лишь 33,3 тыс. ₽; при 3 700 ₽ — 339,8 тыс. ₽. Условное раннее освобождение от НДС нельзя переносить на зрелый год работы. При неизменных 51 среднем жителе, 24 ставках ухода и НДС 5% цена для нулевого денежного результата М10 составляет 3 757,93 ₽/сутки. Поэтому запас базовой цены 3 900 ₽ — лишь около 3,6%. При цене 3 700 ₽ и уже действующем НДС 5% результат М10 составил бы −82,7 тыс. ₽.</w:t>
      </w:r>
    </w:p>
    <w:p>
      <w:r>
        <w:t>Без арендных каникул результат М10 тот же, но пиковый кассовый дефицит увеличивается с 4,076 до 4,976 млн ₽.</w:t>
      </w:r>
    </w:p>
    <w:p>
      <w:r>
        <w:t>При более тяжелом составе жителей необходимо сначала изменить штат и медицинскую модель, а уже затем рассчитывать тариф. Налоговая льгота или рост цены не компенсируют отсутствие разрешений и безопасного ухода.</w:t>
      </w:r>
    </w:p>
    <w:p>
      <w:pPr>
        <w:pStyle w:val="Heading1"/>
      </w:pPr>
      <w:r>
        <w:t>8. Первоначальные вложения и деньги до устойчивой работы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1944"/>
        <w:gridCol w:w="5832"/>
      </w:tblGrid>
      <w:tr>
        <w:trPr>
          <w:tblHeader/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Статья оснащения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Количество и ориентир, ₽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Сумма, тыс. ₽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Механические кровати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30 × 39 900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1 197,0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Электрические кровати, включая 2 изоляционные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32 × 55 900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1 788,8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Матрасы, включая изолятор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62 × 24 900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1 543,8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Мебель и текстиль, включая изолятор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62 × 25 000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1 550,0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Подъемники для перемещения людей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2 × 79 900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159,8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Кресла-туалеты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10 × 6 900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69,0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Противопролежневые системы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10 × 16 900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169,0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Общие зоны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Комплект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900,0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Кухонное оснащение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Комплект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1 200,0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Система вызова помощи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Комплект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650,0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IT и видеонаблюдение в допустимых зонах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Комплект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400,0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Рабочие места персонала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Комплект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300,0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Прочее оснащение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Резерв номенклатуры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400,0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Итого оснащение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До резерва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10 327,4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Непредвиденные расходы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1 549,1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Оснащение с резервом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60 постоянных + 2 изоляционных места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11 876,5</w:t>
            </w:r>
            <w:r>
              <w:rPr>
                <w:b w:val="0"/>
                <w:sz w:val="18"/>
              </w:rPr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1944"/>
        <w:gridCol w:w="5832"/>
      </w:tblGrid>
      <w:tr>
        <w:trPr>
          <w:tblHeader/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Дополнительная потребность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Сумма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Предпусковые расходы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2,00 млн ₽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Подбор, обучение, подготовка договоров, тест спроса и организация открытия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Начальный запас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0,35 млн ₽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Продукты и расходные материалы; отдельно от дальнейшего потребления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Депозит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0,40 млн ₽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Две постоянные месячные аренды; возвратный при соблюдении договора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Первоначальное финансирование до ликвидности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14,63 млн ₽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Оснащение, подготовка, запас и депозит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Денежная ликвидность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8,00 млн ₽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Средства на операционные убытки и непредвиденные отклонения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Всего средства оператора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22,63 млн ₽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Без капитальных работ собственника</w:t>
            </w:r>
          </w:p>
        </w:tc>
      </w:tr>
    </w:tbl>
    <w:p>
      <w:pPr>
        <w:spacing w:after="20"/>
      </w:pPr>
    </w:p>
    <w:p>
      <w:r>
        <w:t>Цены кроватей, матрасов и средств перемещения опираются на открытые предложения поставщиков; это ориентиры, не полученные коммерческие предложения с доставкой и сборкой. Остальные комплекты и работы — расчетные допущения. В 400 тыс. ₽ прочего оснащения предварительно выделены 200 тыс. ₽ на 10 транспортных кресел-колясок по 20 тыс. ₽ и 200 тыс. ₽ на мелкое оборудование; это внутреннее распределение существующей суммы, без отдельного подтвержденного предложения. Резерв оборудования 15% не подтверждает достаточность бюджета строительной реконструкции.</w:t>
      </w:r>
    </w:p>
    <w:p>
      <w:pPr>
        <w:pStyle w:val="Heading2"/>
      </w:pPr>
      <w:r>
        <w:t>Собственник здания и оператор</w:t>
      </w:r>
    </w:p>
    <w:p>
      <w:r>
        <w:t xml:space="preserve">Предполагается, что собственник передает готовое к деятельности здание: законная реконструкция, пригодные конструкции и огнестойкость, инженерия, доступность, пожарные системы, лифт и благоустройство. В базовом денежном бюджете оператора доля этих работ равна нулю </w:t>
      </w:r>
      <w:r>
        <w:rPr>
          <w:b/>
        </w:rPr>
        <w:t>только при закреплении обязательства собственника</w:t>
      </w:r>
      <w:r>
        <w:t>.</w:t>
      </w:r>
    </w:p>
    <w:p>
      <w:r>
        <w:t>До обследования укрупненный диапазон таких работ — 30–75 млн ₽ с риском выхода выше. Иллюстративная сумма 59,13 млн ₽ складывается из проектирования и обследования 2 млн, работ по помещениям 1 665,2 м² × 20 тыс. ₽ = 33,304 млн, пожарных решений 4 млн, лифта 6 млн и территории 2 млн; итого 47,304 млн плюс 25% резерва. Это не смета и не оценка выполненных объемов. Усиление конструкций, значительное изменение сетей или дополнительные обязательные решения могут изменить сумму.</w:t>
      </w:r>
    </w:p>
    <w:p>
      <w:r>
        <w:t xml:space="preserve">Пиковый накопленный операционный дефицит базы — </w:t>
      </w:r>
      <w:r>
        <w:rPr>
          <w:b/>
        </w:rPr>
        <w:t>4,076 млн ₽ в М8</w:t>
      </w:r>
      <w:r>
        <w:t xml:space="preserve">. При наличии 8 млн ₽ ликвидности минимальный остаток — </w:t>
      </w:r>
      <w:r>
        <w:rPr>
          <w:b/>
        </w:rPr>
        <w:t>3,924 млн ₽</w:t>
      </w:r>
      <w:r>
        <w:t>. Математический минимум общего финансирования без дополнительного запаса составляет 18,703 млн ₽; для решения о запуске он слишком чувствителен к отклонениям.</w:t>
      </w:r>
    </w:p>
    <w:p>
      <w:r>
        <w:t xml:space="preserve">Остаток денег не является расходом. В расчете возврата капитала первоначально вычитаются 14,627 млн ₽, затем прибавляется операционный поток. Неизрасходованные 8 млн ₽ не списываются повторно. К М24 первоначальные вложения еще не возвращены: накопленный проектный поток </w:t>
      </w:r>
      <w:r>
        <w:rPr>
          <w:b/>
        </w:rPr>
        <w:t>−11,456 млн ₽</w:t>
      </w:r>
      <w:r>
        <w:t>. Остаточная стоимость имущества, возврат депозита и продажа бизнеса в конце горизонта не включены.</w:t>
      </w:r>
    </w:p>
    <w:p>
      <w:r>
        <w:t xml:space="preserve">Если оператор финансирует все иллюстративные работы по зданию, потребность с тем же денежным резервом вырастает примерно до </w:t>
      </w:r>
      <w:r>
        <w:rPr>
          <w:b/>
        </w:rPr>
        <w:t>81,76 млн ₽</w:t>
      </w:r>
      <w:r>
        <w:t>. Этот вариант нельзя оправдать только выходом текущих операций в плюс к М10.</w:t>
      </w:r>
    </w:p>
    <w:p>
      <w:r>
        <w:t>Для собственника аренда 200 тыс. ₽ дает 2,4 млн ₽ в год: лишь 4,1% валового поступления относительно условных 59,13 млн ₽ новых работ, еще до расходов и стоимости здания. Согласие на такую схему не подтверждено. При переносе реконструкции на оператора нужно заново оценить доходность, срок аренды, защиту улучшений и финансирование. Положительный М10 сам по себе не делает инвестицию выгодной.</w:t>
      </w:r>
    </w:p>
    <w:p>
      <w:pPr>
        <w:pStyle w:val="Heading2"/>
      </w:pPr>
      <w:r>
        <w:t>Договор аренды</w:t>
      </w:r>
    </w:p>
    <w:p>
      <w:r>
        <w:t>Предпочтителен срок 7–10 лет с предусмотренной законом регистрацией, точным объектом и разрешенной деятельностью. Зафиксировать акт готовности, условия начала начисления, каникулы до открытия отдельно от ступеней после открытия, предельную индексацию, согласование улучшений, компенсацию при досрочном прекращении не по вине оператора, доступ к мощностям и ответственность за скрытые дефекты. Отлагательные условия должны позволять выйти без потери основного капитала при отрицательном техническом или правовом заключении.</w:t>
      </w:r>
    </w:p>
    <w:p>
      <w:pPr>
        <w:pStyle w:val="Heading1"/>
      </w:pPr>
      <w:r>
        <w:t>9. План запуска и контрольные условия</w:t>
      </w:r>
    </w:p>
    <w:p>
      <w:r>
        <w:t>Срок подготовки предварительно 8–14 месяцев после решения собственника и положительного обследования. При необходимости усиления здания, сложной смены разрешенного использования или новой экспертизы срок может быть больше. Дата в финансовой модели служит календарем, а не графиком строительного контракта.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1944"/>
        <w:gridCol w:w="5832"/>
      </w:tblGrid>
      <w:tr>
        <w:trPr>
          <w:tblHeader/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Этап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Срок и ответственная роль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Проверяемый результат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1. Документы и обследование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Первые 4–6 недель; собственник, юрист, архитектор и пожарный специалист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Письменное заключение о принципиальной возможности, перечень разрешений и законная вместимость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2. Спрос и экономика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Параллельно после предварительного технического допуска, 4–6 недель; управляющий и маркетолог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Подтвержденные полные цены, обращения и согласия семей, обновленная воронка и штат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3. Инвестиционное решение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2–3 недели после этапов 1–2; инвестор и собственник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Согласованные источники денег, распределение работ, условный договор аренды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4. Рабочий проект и согласования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Ориентировочно 2–4 месяца; проектировщики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Ф1.1, доступность, санитарные потоки, инженерия, смета и последовательность приемки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5. Строительство и оснащение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Ориентировочно 4–8 месяцев; собственник и подрядчики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Акты, исполнительная документация, испытания, ввод и подтвержденные параметры помещений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6. Оператор и персонал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За 2–3 месяца до готовности; управляющий, кадровик, бухгалтер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Штат и графики, договоры, обучение, поставщики, санитарные программы и медпартнер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7. Подготовка открытия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Последние 4–6 недель; руководитель ухода и управляющий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Проверка смен, тревожных систем, кухни, маршрутизации, договоров и законности начала деятельности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8. Постепенное заселение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М1–М10; управляющий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Рост без превышения ресурсов ухода; ежемесячное сопоставление факта с моделью</w:t>
            </w:r>
          </w:p>
        </w:tc>
      </w:tr>
    </w:tbl>
    <w:p>
      <w:pPr>
        <w:spacing w:after="20"/>
      </w:pPr>
    </w:p>
    <w:p>
      <w:pPr>
        <w:pStyle w:val="Heading2"/>
      </w:pPr>
      <w:r>
        <w:t>Организационные и правовые действия</w:t>
      </w:r>
    </w:p>
    <w:p>
      <w:r>
        <w:t>Выбрать юридическое лицо и налоговую модель; проверить основной ОКВЭД 87.30 и дополнительные по фактическим услугам. Выполнить применимое уведомление о начале деятельности по постановлению №725. Реестр поставщиков социальных услуг по 442-ФЗ и получение бюджетных компенсаций не считать автоматическим доходом; включение и условия оцениваются отдельно.</w:t>
      </w:r>
    </w:p>
    <w:p>
      <w:r>
        <w:t>Подготовить договоры проживания и ухода, порядок приема и прекращения, документы по персональным данным, пищевой безопасности, санитарной обработке, отходам, трудовым отношениям, охране труда, пожарной безопасности и действиям при происшествиях. Уточнить необходимость и объем лицензируемой медицинской деятельности; использовать лицензированного партнера только в пределах его разрешений и договора.</w:t>
      </w:r>
    </w:p>
    <w:p>
      <w:r>
        <w:t>Нормы перепроверить перед проектированием и открытием. На дату исследования уже действуют СП 2.1.4284-26, новые санитарные правила питания СанПиН 2.3/2.4.4282-26 и обновленные пожарные документы 2026 года. Акты со сроком действия до конца 2026 года, включая действующую редакцию противопожарного режима, нельзя автоматически переносить на открытие в 2027 году.</w:t>
      </w:r>
    </w:p>
    <w:p>
      <w:pPr>
        <w:pStyle w:val="Heading1"/>
      </w:pPr>
      <w:r>
        <w:t>10. Риски, решение об остановке и дальнейшая проверка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1944"/>
        <w:gridCol w:w="5832"/>
      </w:tblGrid>
      <w:tr>
        <w:trPr>
          <w:tblHeader/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Риск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Последствие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Условие действия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Несоответствие Ф1.1 или невозможная эвакуация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Нельзя законно открыть целевой формат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Остановить капитальные вложения до письменного проектного решения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Допускаются только 48 мест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Падение выручки при значительной постоянной себестоимости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Пересчитать проект; не переносить условия аренды модели на 60 мест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Семьи не принимают тариф 3 900 ₽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Положительная аренда может стать недоступной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До реконструкции подтвердить готовность платить полную цену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Собственник не финансирует доведение здания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Резко растет капитал оператора и риск потери улучшений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Пересогласовать аренду, защиту вложений и доходность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Тяжелый состав проживающих или дефицит кадров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Дополнительные посты и лицензируемые услуги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Ограничить прием до обеспечения ресурсов; увеличить бюджет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Медленное заселение и отток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Исчерпание денежных средств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Ежемесячный прогноз на 13 недель и контроль фактической воронки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Рост налогов, зарплат и коммунальных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Исчезновение небольшого месячного плюса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Пересчет модели до индексации тарифа и перед новыми обязательствами</w:t>
            </w:r>
          </w:p>
        </w:tc>
      </w:tr>
    </w:tbl>
    <w:p>
      <w:pPr>
        <w:spacing w:after="20"/>
      </w:pPr>
    </w:p>
    <w:p>
      <w:pPr>
        <w:pStyle w:val="Heading2"/>
      </w:pPr>
      <w:r>
        <w:t>Какие данные запросить сейчас</w:t>
      </w:r>
    </w:p>
    <w:p>
      <w:r>
        <w:t>У собственника: актуальные документы земли и здания, разрешения реконструкции и ввод, технический план, инженерные мощности, исполнительные схемы, пожарные документы, фактическая готовность и перечень недоделок, запрашиваемая аренда, каникулы и готовность финансировать обязательные работы.</w:t>
      </w:r>
    </w:p>
    <w:p>
      <w:r>
        <w:t>У оператора/инвестора: доступный собственный капитал, условия кредита, планируемые категории жителей, возможность нанять персонал, правовая модель медицинских услуг и подтвержденные условия поставщиков.</w:t>
      </w:r>
    </w:p>
    <w:p>
      <w:r>
        <w:t>У проектировщиков: обследование и обмер, заключение по Ф1.1, этажности и мансарде, допустимое количество проживающих по категориям мобильности, решение по лифту, эвакуации, изолятору и санитарным потокам, смета и сроки. Ни 3D-концепция, ни этот бизнес-план такого заключения не заменяют.</w:t>
      </w:r>
    </w:p>
    <w:p>
      <w:pPr>
        <w:pStyle w:val="Heading2"/>
      </w:pPr>
      <w:r>
        <w:t>Проверка модели и границы результата</w:t>
      </w:r>
    </w:p>
    <w:p>
      <w:r>
        <w:t>Формулы пересчитаны в Excel 16.0; проверены все три сценария, смена даты открытия на февраль високосного 2028 года, пороги НДС на границе 20 млн ₽, отсутствие превышения вместимости и восстановление базы. Ошибок формул при проверке не обнаружено. Независимый расчет сверил 2 160 показателей для 72 расчетных месяцев трех сценариев; расхождения только на уровне машинного округления. При аренде, равной расчетному пределу, денежный результат равен нулю с погрешностью машинного округления; превышение аренды на 10 тыс. ₽ дает минус 10 тыс. ₽, а ставка для целевого запаса дает ровно 300 тыс. ₽.</w:t>
      </w:r>
    </w:p>
    <w:p>
      <w:r>
        <w:t>Оценка не включает фактическое техническое обследование, коммерческие предложения подрядчиков, подтвержденные продажи и полный бухгалтерский налоговый учет. Их получение является следующим обязательным шагом перед инвестиционным решением.</w:t>
      </w:r>
    </w:p>
    <w:p>
      <w:r>
        <w:t>Исходники сохранены без изменений. Сначала подготовлены исследование и первичный план, затем улучшенный промт, настоящий итоговый план и расчетная книга; визуализация создается на последнем этапе. Цифры этого итогового плана имеют приоритет над упрощенной версией 1, где использовались другие тариф и структура питания.</w:t>
      </w:r>
    </w:p>
    <w:p>
      <w:pPr>
        <w:pStyle w:val="Heading1"/>
      </w:pPr>
      <w:r>
        <w:t>Основные источники</w:t>
      </w:r>
    </w:p>
    <w:p>
      <w:pPr>
        <w:spacing w:after="60" w:line="240" w:lineRule="auto"/>
      </w:pPr>
      <w:r>
        <w:rPr>
          <w:sz w:val="18"/>
        </w:rPr>
        <w:t>Полный реестр из 46 источников, даты проверки, подробные оговорки и цены аналогов — в папке «01_Исследование». Ниже ключевые основания.</w:t>
      </w:r>
    </w:p>
    <w:p>
      <w:pPr>
        <w:pStyle w:val="ListBullet"/>
        <w:spacing w:after="60" w:line="240" w:lineRule="auto"/>
      </w:pPr>
      <w:r>
        <w:rPr>
          <w:sz w:val="18"/>
        </w:rPr>
      </w:r>
      <w:hyperlink r:id="rId10">
        <w:r>
          <w:rPr>
            <w:color w:val="24547B"/>
            <w:sz w:val="18"/>
          </w:rPr>
          <w:t>СФР: возрастная группа 80+ в Москве и МО, 29.09.2025</w:t>
        </w:r>
      </w:hyperlink>
      <w:r>
        <w:rPr>
          <w:sz w:val="18"/>
        </w:rPr>
        <w:t>.</w:t>
      </w:r>
    </w:p>
    <w:p>
      <w:pPr>
        <w:pStyle w:val="ListBullet"/>
        <w:spacing w:after="60" w:line="240" w:lineRule="auto"/>
      </w:pPr>
      <w:r>
        <w:rPr>
          <w:sz w:val="18"/>
        </w:rPr>
      </w:r>
      <w:hyperlink r:id="rId11">
        <w:r>
          <w:rPr>
            <w:color w:val="24547B"/>
            <w:sz w:val="18"/>
          </w:rPr>
          <w:t>«Забота»: тарифы пансионата «Раменский»</w:t>
        </w:r>
      </w:hyperlink>
      <w:r>
        <w:rPr>
          <w:sz w:val="18"/>
        </w:rPr>
        <w:t xml:space="preserve"> и </w:t>
      </w:r>
      <w:hyperlink r:id="rId12">
        <w:r>
          <w:rPr>
            <w:color w:val="24547B"/>
            <w:sz w:val="18"/>
          </w:rPr>
          <w:t>«Виктория»: Малаховка</w:t>
        </w:r>
      </w:hyperlink>
      <w:r>
        <w:rPr>
          <w:sz w:val="18"/>
        </w:rPr>
        <w:t>.</w:t>
      </w:r>
    </w:p>
    <w:p>
      <w:pPr>
        <w:pStyle w:val="ListBullet"/>
        <w:spacing w:after="60" w:line="240" w:lineRule="auto"/>
      </w:pPr>
      <w:r>
        <w:rPr>
          <w:sz w:val="18"/>
        </w:rPr>
      </w:r>
      <w:hyperlink r:id="rId13">
        <w:r>
          <w:rPr>
            <w:color w:val="24547B"/>
            <w:sz w:val="18"/>
          </w:rPr>
          <w:t>СП 2.1.4284-26: санитарные требования</w:t>
        </w:r>
      </w:hyperlink>
      <w:r>
        <w:rPr>
          <w:sz w:val="18"/>
        </w:rPr>
        <w:t>.</w:t>
      </w:r>
    </w:p>
    <w:p>
      <w:pPr>
        <w:pStyle w:val="ListBullet"/>
        <w:spacing w:after="60" w:line="240" w:lineRule="auto"/>
      </w:pPr>
      <w:r>
        <w:rPr>
          <w:sz w:val="18"/>
        </w:rPr>
      </w:r>
      <w:hyperlink r:id="rId14">
        <w:r>
          <w:rPr>
            <w:color w:val="24547B"/>
            <w:sz w:val="18"/>
          </w:rPr>
          <w:t>СП 145.13330.2020: проектирование домов-интернатов</w:t>
        </w:r>
      </w:hyperlink>
      <w:r>
        <w:rPr>
          <w:sz w:val="18"/>
        </w:rPr>
        <w:t>.</w:t>
      </w:r>
    </w:p>
    <w:p>
      <w:pPr>
        <w:pStyle w:val="ListBullet"/>
        <w:spacing w:after="60" w:line="240" w:lineRule="auto"/>
      </w:pPr>
      <w:r>
        <w:rPr>
          <w:sz w:val="18"/>
        </w:rPr>
      </w:r>
      <w:hyperlink r:id="rId15">
        <w:r>
          <w:rPr>
            <w:color w:val="24547B"/>
            <w:sz w:val="18"/>
          </w:rPr>
          <w:t>Росстандарт: карточка СП 2.13130.2020</w:t>
        </w:r>
      </w:hyperlink>
      <w:r>
        <w:rPr>
          <w:sz w:val="18"/>
        </w:rPr>
        <w:t>.</w:t>
      </w:r>
    </w:p>
    <w:p>
      <w:pPr>
        <w:pStyle w:val="ListBullet"/>
        <w:spacing w:after="60" w:line="240" w:lineRule="auto"/>
      </w:pPr>
      <w:r>
        <w:rPr>
          <w:sz w:val="18"/>
        </w:rPr>
      </w:r>
      <w:hyperlink r:id="rId16">
        <w:r>
          <w:rPr>
            <w:color w:val="24547B"/>
            <w:sz w:val="18"/>
          </w:rPr>
          <w:t>Росздравнадзор: лицензирование медицинской деятельности</w:t>
        </w:r>
      </w:hyperlink>
      <w:r>
        <w:rPr>
          <w:sz w:val="18"/>
        </w:rPr>
        <w:t>.</w:t>
      </w:r>
    </w:p>
    <w:p>
      <w:pPr>
        <w:pStyle w:val="ListBullet"/>
        <w:spacing w:after="60" w:line="240" w:lineRule="auto"/>
      </w:pPr>
      <w:r>
        <w:rPr>
          <w:sz w:val="18"/>
        </w:rPr>
      </w:r>
      <w:hyperlink r:id="rId17">
        <w:r>
          <w:rPr>
            <w:color w:val="24547B"/>
            <w:sz w:val="18"/>
          </w:rPr>
          <w:t>ФНС: сохранение порога НДС 20 млн ₽ в 2027–2029 годах</w:t>
        </w:r>
      </w:hyperlink>
      <w:r>
        <w:rPr>
          <w:sz w:val="18"/>
        </w:rPr>
        <w:t xml:space="preserve"> и </w:t>
      </w:r>
      <w:hyperlink r:id="rId18">
        <w:r>
          <w:rPr>
            <w:color w:val="24547B"/>
            <w:sz w:val="18"/>
          </w:rPr>
          <w:t>УСН в Московской области</w:t>
        </w:r>
      </w:hyperlink>
      <w:r>
        <w:rPr>
          <w:sz w:val="18"/>
        </w:rPr>
        <w:t>.</w:t>
      </w:r>
    </w:p>
    <w:p>
      <w:pPr>
        <w:pStyle w:val="ListBullet"/>
        <w:spacing w:after="60" w:line="240" w:lineRule="auto"/>
      </w:pPr>
      <w:r>
        <w:rPr>
          <w:sz w:val="18"/>
        </w:rPr>
        <w:t>Внутренние источники: АР 2024 года, выписки на объект и участок, фотографии и видео из папки заказчика. В итоговые материалы не переносились паспортные данные, подписи и иные избыточные персональные сведения.</w:t>
      </w:r>
    </w:p>
    <w:sectPr w:rsidR="00FC693F" w:rsidRPr="0006063C" w:rsidSect="00034616">
      <w:footerReference w:type="default" r:id="rId9"/>
      <w:pgSz w:w="12240" w:h="15840"/>
      <w:pgMar w:top="979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 xml:space="preserve">Малаховка · Рабочий бизнес-план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fr.gov.ru/branches/moscow/news/~2025/09/29/275739" TargetMode="External"/><Relationship Id="rId11" Type="http://schemas.openxmlformats.org/officeDocument/2006/relationships/hyperlink" Target="https://www.pansion-zabota.ru/catalog/ramenskiy/" TargetMode="External"/><Relationship Id="rId12" Type="http://schemas.openxmlformats.org/officeDocument/2006/relationships/hyperlink" Target="https://www.pansionatcdz.ru/kontakty/malahovka/" TargetMode="External"/><Relationship Id="rId13" Type="http://schemas.openxmlformats.org/officeDocument/2006/relationships/hyperlink" Target="https://www.garant.ru/products/ipo/prime/doc/414229111/" TargetMode="External"/><Relationship Id="rId14" Type="http://schemas.openxmlformats.org/officeDocument/2006/relationships/hyperlink" Target="https://base.garant.ru/400535835/" TargetMode="External"/><Relationship Id="rId15" Type="http://schemas.openxmlformats.org/officeDocument/2006/relationships/hyperlink" Target="https://protect.gost.ru/sp/details/90783c81-7eaa-4b90-b774-55ad27e6dfa1" TargetMode="External"/><Relationship Id="rId16" Type="http://schemas.openxmlformats.org/officeDocument/2006/relationships/hyperlink" Target="https://www.roszdravnadzor.gov.ru/spec/medactivities/licensing" TargetMode="External"/><Relationship Id="rId17" Type="http://schemas.openxmlformats.org/officeDocument/2006/relationships/hyperlink" Target="https://www.nalog.gov.ru/rn46/news/activities_fts/16636927/" TargetMode="External"/><Relationship Id="rId18" Type="http://schemas.openxmlformats.org/officeDocument/2006/relationships/hyperlink" Target="https://www.nalog.gov.ru/rn50/taxation/taxes/us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/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