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Бизнес-план пансионата: аренда 700 ₽/м²</w:t>
      </w:r>
    </w:p>
    <w:p>
      <w:r>
        <w:t>Малаховка, Чайковского, 1 · Редакция 3 · 16 сентября 2026 года</w:t>
      </w:r>
    </w:p>
    <w:p>
      <w:pPr>
        <w:pStyle w:val="Heading1"/>
      </w:pPr>
      <w:r>
        <w:t>1. Вывод при заданной аренде</w:t>
      </w:r>
    </w:p>
    <w:p>
      <w:r/>
      <w:r>
        <w:rPr>
          <w:b/>
        </w:rPr>
        <w:t>При тарифе 3 900 ₽/сутки и аренде 700 ₽/м² общей площади цель выйти в месячный плюс к М10 не выполняется.</w:t>
      </w:r>
      <w:r>
        <w:t xml:space="preserve"> Снижение аренды не используется как способ улучшить результат. Проверяются тариф, заселение и подтвержденная мощность ухода.</w:t>
      </w:r>
    </w:p>
    <w:p>
      <w:r>
        <w:t>По указанию заказчика ставка 700 ₽/м² — полный арендный платеж, включая все применимые налоги арендодателя. Расчетная общая площадь после реконструкции по АР — 1 843,1 м².</w:t>
      </w:r>
    </w:p>
    <w:p>
      <w:r/>
      <w:r>
        <w:rPr>
          <w:b/>
        </w:rPr>
        <w:t>Аренда = 1 843,1 × 700 = 1 290 170 ₽/месяц.</w:t>
      </w:r>
      <w:r>
        <w:t xml:space="preserve"> За 12 месяцев без индексации — 15 482 040 ₽. Коммунальные услуги учтены отдельно. В базовом варианте аренда начисляется полностью с первого месяца работы. Каникулы не подтверждены и рассмотрены только в отдельной проверке.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7056"/>
      </w:tblGrid>
      <w:tr>
        <w:trPr>
          <w:tblHeader/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М10 при прежнем тарифе 3 900 ₽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−887 391 ₽ денежного результата</w:t>
            </w: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М10 при проверяемом тарифе 4 800 ₽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+397 031 ₽; после амортизации оснащения +199 090 ₽</w:t>
            </w: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Минимальный целый тариф для плюса после амортизации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4 661 ₽/сутки при 51 среднем жителе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Учтенная стартовая потребность без денежного резерва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16 806 850 ₽; ремонт и аренда до открытия отдельно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Вариант финансирования при тарифе 4 800 ₽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26 806 850 ₽, включая 10 млн ₽ ликвидности; только учтенная часть</w:t>
            </w:r>
          </w:p>
        </w:tc>
      </w:tr>
    </w:tbl>
    <w:p>
      <w:pPr>
        <w:spacing w:after="20"/>
      </w:pPr>
    </w:p>
    <w:p>
      <w:r/>
      <w:r>
        <w:rPr>
          <w:b/>
        </w:rPr>
        <w:t>Условие для достижения цели:</w:t>
      </w:r>
      <w:r>
        <w:t xml:space="preserve"> при 51 среднем жителе, НДС 5% и прежнем составе расходов нужен реализованный средний тариф не ниже 4 522 ₽/сутки для нулевого денежного результата. Для денежного запаса 300 тыс. ₽ в М10 — около 4 732 ₽/сутки. Это расчетные пороги, не подтвержденные цены продаж. Вариант 4 800 ₽ проверяется как кандидат для теста спроса, а не автоматически принимается за достижимую базу.</w:t>
      </w:r>
    </w:p>
    <w:p>
      <w:r>
        <w:t xml:space="preserve">Строительный ремонт и доведение здания </w:t>
      </w:r>
      <w:r>
        <w:rPr>
          <w:b/>
        </w:rPr>
        <w:t>полностью вынесены за рамки бюджета этой редакции</w:t>
      </w:r>
      <w:r>
        <w:t xml:space="preserve"> и будут оцениваться отдельной сметой. Здесь нет их предварительной суммы, условного нуля или предположения, что ремонт оплачивает собственник. Финансирование оснащения и деятельности ниже — только часть бюджета проекта без ремонта.</w:t>
      </w:r>
    </w:p>
    <w:p>
      <w:pPr>
        <w:pStyle w:val="Heading1"/>
      </w:pPr>
      <w:r>
        <w:t>2. Зафиксированные исходные условия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7056"/>
      </w:tblGrid>
      <w:tr>
        <w:trPr>
          <w:tblHeader/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Принято в расчете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Цель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Положительный месячный денежный результат после текущих расходов, аренды и налогового резерва не позднее М10 с открытия; проверка М10–М12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Аренда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700 ₽/м² × 1 843,1 м² = 1 290 170 ₽/месяц; полный платеж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Площадь для аренды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Общая проектная 1 843,1 м²; площадь помещений 1 665,2 м² и площадь по выписке 903,8 м² не подставляются вместо нее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Вместимость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Гипотеза 60 постоянных продаваемых мест и еще 2 изоляционные койки в двух палатах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Начальное заселение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12 жителей; на конец М10 — 52; среднее М10 — 51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Тариф базы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3 900 ₽/сутки, включая применимый НДС; отдельная проверка 4 500–5 000 ₽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Календарь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Условное открытие 01.07.2027; фактические календарные дни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Индексация с М13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Аренда +5%, зарплаты +7%, тариф и остальные расходы +6% — допущения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Депозит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Две полные месячные аренды — 2 580 340 ₽; условие договора еще не подтверждено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Ремонт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Отдельная смета; его стоимость и финансирование здесь не определяются</w:t>
            </w:r>
          </w:p>
        </w:tc>
      </w:tr>
    </w:tbl>
    <w:p>
      <w:pPr>
        <w:spacing w:after="20"/>
      </w:pPr>
    </w:p>
    <w:p>
      <w:r>
        <w:t>Ставка 700 ₽/м² принята как входное условие заказчика, а не как результат новой оценки рынка аренды. Оплачиваемая площадь должна быть закреплена в договоре и акте передачи. В модели площадь и ставка редактируются, месячная аренда связана с ними формулой.</w:t>
      </w:r>
    </w:p>
    <w:p>
      <w:r>
        <w:t>Выписка и проект описывают разную стадию объекта. Общая площадь 1 843,1 м² и 60 мест пока не подтверждены вводом и согласованным проектом пансионата. Пересчет аренды не устраняет эту неопределенность.</w:t>
      </w:r>
    </w:p>
    <w:p>
      <w:pPr>
        <w:pStyle w:val="Heading2"/>
      </w:pPr>
      <w:r>
        <w:t>Что относится к отдельной смете, а что остается здесь</w:t>
      </w:r>
    </w:p>
    <w:p>
      <w:r>
        <w:t>Из бюджета исключены строительная отделка, переустройство конструкций, инженерные сети, пожарные строительные решения, лифт, строительная доступность и работы по территории. Их состав, стоимость, сроки и плательщик согласуются отдельно. Технические и правовые требования к зданию при этом сохраняются.</w:t>
      </w:r>
    </w:p>
    <w:p>
      <w:r>
        <w:t>В данной модели остаются кровати, мебель, оборудование, запасы, подготовка оператора, зарплаты, питание, коммунальные, услуги, маркетинг, аренда, налоги и денежный резерв. Монтаж и строительные работы нельзя одновременно включать в комплект оснащения и отдельную смету.</w:t>
      </w:r>
    </w:p>
    <w:p>
      <w:r>
        <w:t>Ежемесячные 40 тыс. ₽ из прежней модели сохранены как резерв текущего эксплуатационного обслуживания. Это постоянный расход работающего пансионата, отдельно от предпускового строительного ремонта. Если исключить и этот резерв, убыток М10 уменьшится лишь до 847,4 тыс. ₽, а нулевой тариф — до 4 493,71 ₽; основной вывод не изменится.</w:t>
      </w:r>
    </w:p>
    <w:p>
      <w:pPr>
        <w:pStyle w:val="Heading1"/>
      </w:pPr>
      <w:r>
        <w:t>3. Себестоимость и налоги</w:t>
      </w:r>
    </w:p>
    <w:p>
      <w:r>
        <w:t>Расчет персонала выполняется по максимуму жителей на начало и конец месяца. Днем — один работник ухода на 10 жителей, ночью — на 20; не менее двух постов и не меньше числа действующих жилых этажей. Число этажей условно растет каждые 24 жителя. Данная формула — бюджетная гипотеза, достаточность которой нужно проверить по зависимости людей и эвакуации.</w:t>
      </w:r>
    </w:p>
    <w:p>
      <w:r>
        <w:t>Ставки ухода = округление вверх ((посты днем + посты ночью) × 12 часов × дни / 160 часов × 1,15). При максимуме 52 жителя и 30 днях это 6 дневных и 3 ночных поста, 24 ставки ухода. Одна ставка не равна круглосуточному посту.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2448"/>
        <w:gridCol w:w="4248"/>
      </w:tblGrid>
      <w:tr>
        <w:trPr>
          <w:tblHeader/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Расход в М10, 30 дней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Сумма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Основание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Уход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24 × 80 000 = 1 920 000 ₽ gross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160 часов и 15% резерва замен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Вспомогательный штат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920 000 ₽ gross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12 ставок: управление, кухня, уборка, администратор, досуг и техник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Начисления на весь ФОТ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857 680 ₽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Консервативно 30,2%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Всего персонал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3 697 680 ₽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Gross 2 840 000 ₽ плюс начисления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Расходы жителей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810 900 ₽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51 × 30 × 530 ₽: питание 380, стирка 60, обычная гигиена 90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Питание работников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105 000 ₽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3 500 ₽ в сутки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Прочие постоянные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550 000 ₽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Расшифровка ниже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Эквайринг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1% клиентской выручки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При 3 900 ₽ это 59 670 ₽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Аренда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1 290 170 ₽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Полная площадь × ставка пользователя</w:t>
            </w:r>
          </w:p>
        </w:tc>
      </w:tr>
    </w:tbl>
    <w:p>
      <w:pPr>
        <w:spacing w:after="20"/>
      </w:pPr>
    </w:p>
    <w:p>
      <w:r>
        <w:t>550 тыс. ₽ в месяц: коммунальные 150 тыс., маркетинг 180 тыс., медицинский партнер 100 тыс., бухгалтерия и IT 35 тыс., отходы и санитарные договоры 30 тыс., эксплуатационное обслуживание 40 тыс., страхование 15 тыс. Это допущения для получения предложений поставщиков.</w:t>
      </w:r>
    </w:p>
    <w:p>
      <w:r>
        <w:t>Медицинский партнер за 100 тыс. ₽ не означает медицинскую сестру на посту 24/7. При необходимости такого поста потребуется лицензированный подрядчик или собственная лицензируемая деятельность с отдельным бюджетом. Индивидуальные лекарства, специальные смеси, подгузники и персональный пост не включены в общий тариф без отдельной договоренности.</w:t>
      </w:r>
    </w:p>
    <w:p>
      <w:r/>
      <w:r>
        <w:rPr>
          <w:b/>
        </w:rPr>
        <w:t>Налоги:</w:t>
      </w:r>
      <w:r>
        <w:t xml:space="preserve"> УСН «доходы минус расходы» 15%; управленческий месячный резерв — max(15% положительного EBITDA; 1% выручки без НДС). Минимальный налог УСН является годовым, поэтому резерв не равен фактическому графику перечислений. Полный налоговый учет первоначальных расходов и убытков не моделируется.</w:t>
      </w:r>
    </w:p>
    <w:p>
      <w:r>
        <w:t>НДС 5% выделяется внутри клиентской цены после утраты порогового освобождения, с проверкой 20 млн ₽ по календарному и предыдущему году. Другие доходы того же юридического лица задаются отдельно. Подтвержденное освобождение по статье 149 НК РФ — отдельный переключатель; в базе его нет. При НДС 5% входной налог не принимается к вычету, поэтому аренда 700 ₽ уже является полным расходом и повторно не увеличивается.</w:t>
      </w:r>
    </w:p>
    <w:p>
      <w:pPr>
        <w:pStyle w:val="Heading1"/>
      </w:pPr>
      <w:r>
        <w:t>4. Результат М10 и помесячный план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92"/>
        <w:gridCol w:w="2880"/>
        <w:gridCol w:w="2880"/>
      </w:tblGrid>
      <w:tr>
        <w:trPr>
          <w:tblHeader/>
          <w:cantSplit/>
        </w:trPr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Показатель М10, ₽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Тариф 3 900 ₽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Тариф 4 800 ₽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Выручка от жителей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5 967 000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7 344 000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НДС внутри цены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284 143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349 714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Выручка без НДС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5 682 857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6 994 286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ФОТ с начислениями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3 697 680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3 697 680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Питание, стирка и гигиена жителей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810 900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810 900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Питание сотрудников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105 000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105 000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Прочие постоянные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550 000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550 000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Эквайринг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59 670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73 440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Аренда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1 290 170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1 290 170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EBITDA до налогового резерва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-830 563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467 096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Резерв УСН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56 829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70 064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Денежный результат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-887 391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397 031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После амортизации оснащения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-1 085 333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199 090</w:t>
            </w:r>
          </w:p>
        </w:tc>
      </w:tr>
    </w:tbl>
    <w:p>
      <w:pPr>
        <w:spacing w:after="20"/>
      </w:pPr>
    </w:p>
    <w:p>
      <w:r>
        <w:t>Среднее заселение в обоих вариантах — 51 человек; 52 на конец М10. Суммы округлены до рубля, расчеты Excel сохраняют точность.</w:t>
      </w:r>
    </w:p>
    <w:p>
      <w:r>
        <w:t>Денежный результат включает текущую деятельность и налоговый резерв. Для оценки управленческой прибыли дополнительно вычитается условная амортизация оснащения 197 941,83 ₽/месяц: бюджет оборудования 11 876 510 ₽ распределен на 60 месяцев. Амортизация ремонта здесь отсутствует, потому что ремонт находится вне этой модели. Депозит и неиспользованные деньги расходом не признаются.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1440"/>
        <w:gridCol w:w="936"/>
        <w:gridCol w:w="3456"/>
        <w:gridCol w:w="3456"/>
      </w:tblGrid>
      <w:tr>
        <w:trPr>
          <w:tblHeader/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Месяц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Среднее жителей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Дней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Результат при 3 900, тыс. ₽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Результат при 4 800, тыс. ₽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М1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15,0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-2 761,5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-2 351,4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М2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21,0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-2 461,7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-1 887,5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М3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27,0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-1 830,6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-1 116,2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М4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32,0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-1 651,6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-776,6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М5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36,0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-1 254,2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-301,7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М6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40,0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-1 356,0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-262,3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М7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43,5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-1 246,7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-114,5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М8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46,5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-1 135,5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-3,4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М9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49,0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-716,8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533,8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М10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51,0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-887,4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397,0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М11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53,0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-643,8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689,1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М12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54,0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-607,7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702,5</w:t>
            </w:r>
          </w:p>
        </w:tc>
      </w:tr>
    </w:tbl>
    <w:p>
      <w:pPr>
        <w:spacing w:after="20"/>
      </w:pPr>
    </w:p>
    <w:p>
      <w:r>
        <w:t xml:space="preserve">При 3 900 ₽ положительных месяцев нет на всем горизонте 24 месяцев; резерв 8 млн ₽ исчерпывается в М4. В варианте 4 800 ₽ первый положительный месяц — М9, М10–М12 также положительны. Итог текущего денежного потока: за М1–М12 </w:t>
      </w:r>
      <w:r>
        <w:rPr>
          <w:b/>
        </w:rPr>
        <w:t>-4,491 млн ₽</w:t>
      </w:r>
      <w:r>
        <w:t xml:space="preserve">, за М13–М24 </w:t>
      </w:r>
      <w:r>
        <w:rPr>
          <w:b/>
        </w:rPr>
        <w:t>+9,173 млн ₽</w:t>
      </w:r>
      <w:r>
        <w:t>. Положительный месяц не означает возврата уже понесенных затрат.</w:t>
      </w:r>
    </w:p>
    <w:p>
      <w:r>
        <w:t>План заселения одинаков для сравнений цен. Рост тарифа сам по себе не обеспечивает выполнение этой траектории: более высокая цена может замедлить продажи и изменить состав жителей. Стоимость ухода при более тяжелой зависимости также придется пересчитать.</w:t>
      </w:r>
    </w:p>
    <w:p>
      <w:pPr>
        <w:pStyle w:val="Heading1"/>
      </w:pPr>
      <w:r>
        <w:t>5. Какой тариф и загрузка необходимы</w:t>
      </w:r>
    </w:p>
    <w:p>
      <w:r>
        <w:t>Расчет ниже — для 30-дневного месяца с действующим НДС 5%, полной арендой и неизменными остальными расходами. Для диагностической зрелой загрузки число жителей на начало и конец равно среднему. В диапазоне 51–60 человек получаются одинаковые 6 дневных и 3 ночных поста, 24 ставки ухода; при 31 дне потребуются 25 ставок.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080"/>
        <w:gridCol w:w="2520"/>
        <w:gridCol w:w="2520"/>
        <w:gridCol w:w="2592"/>
      </w:tblGrid>
      <w:tr>
        <w:trPr>
          <w:tblHeader/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Среднее жителей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Загрузка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Результат при 3 900, тыс. ₽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Нулевой тариф, ₽/сутки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Тариф для +300 тыс., ₽/сутки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51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85%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-887,4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4 521,74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4 731,93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54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90%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-607,7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4 302,10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4 500,61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57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95%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-327,9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4 105,57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4 293,64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60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100%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-48,2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3 928,70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4 107,36</w:t>
            </w:r>
          </w:p>
        </w:tc>
      </w:tr>
    </w:tbl>
    <w:p>
      <w:pPr>
        <w:spacing w:after="20"/>
      </w:pPr>
    </w:p>
    <w:p>
      <w:r>
        <w:t xml:space="preserve">При тарифе 3 900 ₽ рост заселения в пределах 60 мест </w:t>
      </w:r>
      <w:r>
        <w:rPr>
          <w:b/>
        </w:rPr>
        <w:t>не дает положительного результата в этом 30-дневном расчете</w:t>
      </w:r>
      <w:r>
        <w:t>. Даже при 100% загрузке остается минус 48,2 тыс. ₽. Нельзя автоматически добавить койки сверх 60: это требует проверки вместимости и перерасчета персонала.</w:t>
      </w:r>
    </w:p>
    <w:p>
      <w:r>
        <w:t>В М10 при 51 жителе суммарные постоянные и зависящие от числа жителей расходы без эквайринга составляют 6 453 750 ₽. Для клиентского тарифа P, числа жителей N и 30 дней:</w:t>
      </w:r>
    </w:p>
    <w:p>
      <w:r>
        <w:t>Выручка без НДС = N × 30 × P / 1,05.</w:t>
      </w:r>
    </w:p>
    <w:p>
      <w:r>
        <w:t>Эквайринг = N × 30 × P × 1%.</w:t>
      </w:r>
    </w:p>
    <w:p>
      <w:r>
        <w:t>EBITDA = выручка без НДС − расходы − эквайринг.</w:t>
      </w:r>
    </w:p>
    <w:p>
      <w:r>
        <w:t>Денежный результат = EBITDA − max(15% положительного EBITDA; 1% выручки без НДС).</w:t>
      </w:r>
    </w:p>
    <w:p>
      <w:r>
        <w:t>На найденных нулевых порогах и пороге +300 тыс. ₽ действует минимальный налоговый резерв 1%. При более высокой прибыли нужно учитывать переключение на 15%; поэтому итоговые варианты проверены полной формулой.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592"/>
        <w:gridCol w:w="2736"/>
        <w:gridCol w:w="3096"/>
      </w:tblGrid>
      <w:tr>
        <w:trPr>
          <w:tblHeader/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Тариф, ₽/сутки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М10 денежный, тыс. ₽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М10 после амортизации, тыс. ₽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Пиковый дефицит за 24 мес., млн ₽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4 500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-31,0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-229,0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9,108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4 700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254,4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56,5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7,578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4 800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397,0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199,1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6,813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5 000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642,1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444,2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5,669</w:t>
            </w:r>
          </w:p>
        </w:tc>
      </w:tr>
    </w:tbl>
    <w:p>
      <w:pPr>
        <w:spacing w:after="20"/>
      </w:pPr>
    </w:p>
    <w:p>
      <w:r>
        <w:t xml:space="preserve">Во всех четырех ценовых вариантах М10 — худший месяц в окне М10–М12. Для нуля после условной амортизации оборудования при среднем заселении 51 человек требуется </w:t>
      </w:r>
      <w:r>
        <w:rPr>
          <w:b/>
        </w:rPr>
        <w:t>4 660,43 ₽/сутки</w:t>
      </w:r>
      <w:r>
        <w:t xml:space="preserve">, то есть целый тариф от </w:t>
      </w:r>
      <w:r>
        <w:rPr>
          <w:b/>
        </w:rPr>
        <w:t>4 661 ₽</w:t>
      </w:r>
      <w:r>
        <w:t>. При 4 800 ₽ плюс после такой амортизации — 199,1 тыс. ₽. Амортизация строительных работ не включена.</w:t>
      </w:r>
    </w:p>
    <w:p>
      <w:r>
        <w:t>Отдельные сценарии меняют цену, заселение и расходы: неблагоприятный — вместимость 48 мест, 34 средних жителя при 3 300 ₽, ФОТ +10% и расходы на жителей +15%, М10 -2,419 млн ₽; благоприятный — 56 средних жителей при 4 300 ₽, М10 +205,7 тыс. ₽. Это сценарии для анализа риска, а не прогноз доказанных продаж.</w:t>
      </w:r>
    </w:p>
    <w:p>
      <w:r>
        <w:t xml:space="preserve">Порог для нулевого денежного результата не обеспечивает амортизацию оснащения, кредит или запас на отклонения. </w:t>
      </w:r>
      <w:r>
        <w:rPr>
          <w:b/>
        </w:rPr>
        <w:t>4 522 ₽ нельзя считать устойчивым коммерческим тарифом только потому, что арифметика дает ноль.</w:t>
      </w:r>
      <w:r>
        <w:t xml:space="preserve"> Вариант 4 800 ₽/сутки, или 144 тыс. ₽ за 30 дней, оставляет больший запас при сохранении заложенного заселения и себестоимости.</w:t>
      </w:r>
    </w:p>
    <w:p>
      <w:pPr>
        <w:pStyle w:val="Heading1"/>
      </w:pPr>
      <w:r>
        <w:t>6. Финансирование без ремонта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4032"/>
        <w:gridCol w:w="2520"/>
      </w:tblGrid>
      <w:tr>
        <w:trPr>
          <w:tblHeader/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Статья оснащения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Количество и ориентир, ₽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Сумма, тыс. ₽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Механические кровати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30 × 39 900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1 197,0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Электрические кровати, включая 2 изоляционные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32 × 55 900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1 788,8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Матрасы, включая изолятор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62 × 24 900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1 543,8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Мебель и текстиль, включая изолятор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62 × 25 000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1 550,0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Подъемники для перемещения людей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2 × 79 900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159,8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Кресла-туалеты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10 × 6 900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69,0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Противопролежневые системы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10 × 16 900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169,0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Общие зоны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Комплект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900,0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Кухонное оснащение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Комплект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1 200,0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Система вызова помощи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Комплект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650,0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IT и видеонаблюдение в допустимых зонах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Комплект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400,0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Рабочие места персонала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Комплект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300,0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Прочее оснащение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Резерв номенклатуры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400,0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Итого оснащение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До резерва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10 327,4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Непредвиденные расходы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1 549,1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Оснащение с резервом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60 постоянных + 2 изоляционных места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11 876,5</w:t>
            </w:r>
            <w:r>
              <w:rPr>
                <w:b w:val="0"/>
                <w:sz w:val="18"/>
              </w:rPr>
            </w:r>
          </w:p>
        </w:tc>
      </w:tr>
    </w:tbl>
    <w:p>
      <w:pPr>
        <w:spacing w:after="20"/>
      </w:pPr>
    </w:p>
    <w:p>
      <w:r>
        <w:t>Розничные цены кроватей, матрасов и средств ухода взяты из источников ранее подготовленного исследования; комплектация, доставка и актуальность требуют подтверждения. Остальные суммы — бюджетные допущения, не коммерческие предложения. В прочем оснащении 400 тыс. ₽ предварительно предусмотрены 200 тыс. ₽ на 10 транспортных кресел-колясок по 20 тыс. ₽ и 200 тыс. ₽ на мелкое оборудование.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2448"/>
        <w:gridCol w:w="4248"/>
      </w:tblGrid>
      <w:tr>
        <w:trPr>
          <w:tblHeader/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Учтенная потребность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Сумма, ₽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Оснащение с резервом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11 876 510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60 продаваемых мест + 2 изоляционных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Предпусковая подготовка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2 000 000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Подбор, обучение, документы, тест спроса, открытие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Начальные запасы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350 000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Продукты и расходные материалы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Депозит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2 580 340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Две полные аренды; договорное допущение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До денежного резерва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16 806 850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Без ремонта и аренды до открытия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Ликвидность в сохраненной книге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8 000 000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Редактируемое значение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Всего с резервом 8 млн ₽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24 806 850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Только учтенная часть без ремонта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Вариант с ликвидностью 10 млн ₽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26 806 850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Иллюстративный дополнительный запас для тарифа 4 800 ₽</w:t>
            </w:r>
          </w:p>
        </w:tc>
      </w:tr>
    </w:tbl>
    <w:p>
      <w:pPr>
        <w:spacing w:after="20"/>
      </w:pPr>
    </w:p>
    <w:p>
      <w:r>
        <w:t xml:space="preserve">При 3 900 ₽ пиковый операционный дефицит за 24 месяца составляет </w:t>
      </w:r>
      <w:r>
        <w:rPr>
          <w:b/>
        </w:rPr>
        <w:t>24,258 млн ₽</w:t>
      </w:r>
      <w:r>
        <w:t xml:space="preserve">. Сохраненного резерва 8 млн ₽ не хватает на </w:t>
      </w:r>
      <w:r>
        <w:rPr>
          <w:b/>
        </w:rPr>
        <w:t>16,258 млн ₽</w:t>
      </w:r>
      <w:r>
        <w:t>. Покрытие всех учтенных затрат и этого дефицита потребовало бы не менее 41,065 млн ₽ без ремонта, аренды до открытия и дополнительного запаса; это не рекомендация финансировать убыточную базу.</w:t>
      </w:r>
    </w:p>
    <w:p>
      <w:r>
        <w:t xml:space="preserve">При 4 800 ₽ пиковый дефицит </w:t>
      </w:r>
      <w:r>
        <w:rPr>
          <w:b/>
        </w:rPr>
        <w:t>6,813 млн ₽ достигается в М8</w:t>
      </w:r>
      <w:r>
        <w:t xml:space="preserve">. Математический минимум учтенного финансирования — 23,620 млн ₽; с ликвидностью 8 млн ₽ минимальный остаток 1,187 млн ₽. Иллюстративный резерв 10 млн ₽ увеличивает минимальный остаток до </w:t>
      </w:r>
      <w:r>
        <w:rPr>
          <w:b/>
        </w:rPr>
        <w:t>3,187 млн ₽</w:t>
      </w:r>
      <w:r>
        <w:t>. Этот запас не является гарантией: отклонения цены, заселения, штата и сроков расходуют его.</w:t>
      </w:r>
    </w:p>
    <w:p>
      <w:r>
        <w:t>В исходном состоянии Excel оставлен тариф 3 900 ₽ и резерв 8 млн ₽, чтобы убыточная база была видна. Для проверки коммерческого варианта установите в параметрах базовый тариф 4 800 ₽ и при необходимости ликвидность 10 млн ₽; остальные условия должны оставаться сопоставимыми.</w:t>
      </w:r>
    </w:p>
    <w:p>
      <w:r>
        <w:t>У базового тарифа 3 900 ₽ финансирование убытков не заменяет решение задачи прибыльности. Не следует принимать большой денежный резерв за доказательство жизнеспособности. Бюджет для варианта 4 800 ₽ имеет смысл только после подтверждения продаж по этой цене.</w:t>
      </w:r>
    </w:p>
    <w:p>
      <w:r/>
      <w:r>
        <w:rPr>
          <w:b/>
        </w:rPr>
        <w:t>Аренда до открытия — отдельное условие договора, не строительная смета.</w:t>
      </w:r>
      <w:r>
        <w:t xml:space="preserve"> В основной таблице работы отсчет начинается с открытия; предшествующие месяцы аренды не добавлены из-за отсутствия даты передачи и условий начисления. Если полная аренда действует за 3 месяца до открытия, дополнительно нужно 3 870 510 ₽; за 6 месяцев — 7 741 020 ₽. Эти суммы не включают предэксплуатационные коммунальные и прочие неизвестные расходы. При необходимости их нужно добавить к финансированию, даже когда сам ремонт считается отдельно.</w:t>
      </w:r>
    </w:p>
    <w:p>
      <w:r>
        <w:t>Ступени 0 в М1–М3, половина ставки в М4–М6 и полная с М7 проверяются только как возможное условие договора. Они уменьшают первоначальный кассовый дефицит, но не исправляют убыток М10 при тарифе 3 900 ₽. Согласия арендодателя на каникулы нет.</w:t>
      </w:r>
    </w:p>
    <w:p>
      <w:r>
        <w:t>Срок возврата только оснащения и остальных учтенных расходов не является сроком окупаемости всего проекта. Общие инвестиции и полная окупаемость могут оцениваться после добавления отдельной сметы ремонта и условий ее финансирования.</w:t>
      </w:r>
    </w:p>
    <w:p>
      <w:pPr>
        <w:pStyle w:val="Heading1"/>
      </w:pPr>
      <w:r>
        <w:t>7. Проверка спроса на нужную цену</w:t>
      </w:r>
    </w:p>
    <w:p>
      <w:r>
        <w:t>Предыдущий отчет содержит 14 предложений и 46 источников; повторная сверка отдельных официальных тарифов выполнена 16.09.2026. Публичные цены подтверждают наличие предложений, но не загрузку, средний реализованный чек или очередь.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2448"/>
        <w:gridCol w:w="4248"/>
      </w:tblGrid>
      <w:tr>
        <w:trPr>
          <w:tblHeader/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Сравнение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Опубликованная цена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Значение для проверки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«Раменский», «Забота»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Двухместное 3 600/3 950 ₽ по категории ухода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При 4 800 ₽ необходимо объяснить преимущество перед более дешевым действующим объектом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«Золотой возраст», «Забота»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Двухместное от 5 000 ₽, тяжелый уход от 5 350 ₽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Близкий ценовой ориентир; комплектацию и качество нужно сравнивать предметно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«Опека», «Щукинский» / «Щукинский-2»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Акция 4 900 ₽ за пятиместное, ограниченный период и срок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Не постоянный тариф двухместной комнаты; нельзя использовать акцию как доказанный средний чек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Senior Group, Малаховка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Двухместное при легкой астении 8 500 ₽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Включает медицинское наблюдение; это другой продукт</w:t>
            </w:r>
          </w:p>
        </w:tc>
      </w:tr>
    </w:tbl>
    <w:p>
      <w:pPr>
        <w:spacing w:after="20"/>
      </w:pPr>
    </w:p>
    <w:p>
      <w:r>
        <w:t>Тестировать нужно полный платеж 141–150 тыс. ₽ за 30 дней для вариантов 4 700–5 000 ₽, включая прозрачные исключения. Подмена средних 4 800 ₽ рекламной ценой «от 4 800» при скидках и недополученной выручке сделает расчет неверным.</w:t>
      </w:r>
    </w:p>
    <w:p>
      <w:r>
        <w:t>Предложенный продукт — небольшие комнаты, бытовой уход, питание, прогулки, досуг и связь с семьей. Повышение цены не добавляет автоматически медицинской лицензии, персонала и качества. Если для продажи такого тарифа потребуется дороже оснащение или дополнительный штат, это должно попасть в модель.</w:t>
      </w:r>
    </w:p>
    <w:p>
      <w:r>
        <w:t>Воронка прежнего плана: 12 жителей к открытию и около 57 новых заселений за М1–М10 с учетом 5% оттока. При базовой конверсии 10% нужны около 571 квалифицированного обращения за период плюс 120 до открытия. При бюджете 180 тыс. ₽/месяц средний расход на заселение за первые десять месяцев — около 31,6 тыс. ₽. Конверсия и отток — допущения.</w:t>
      </w:r>
    </w:p>
    <w:p>
      <w:r>
        <w:t>До решения о запуске: 30–40 интервью с потенциальными плательщиками, сравнение одинакового профиля ухода в 8–10 объектах и рекламный тест 4–6 недель. Проверять готовность заключить договор по полной цене и реальную стоимость заселения. Эти действия в данной работе не проводились.</w:t>
      </w:r>
    </w:p>
    <w:p>
      <w:pPr>
        <w:pStyle w:val="Heading1"/>
      </w:pPr>
      <w:r>
        <w:t>8. Условия запуска и следующий шаг</w:t>
      </w:r>
    </w:p>
    <w:p>
      <w:r/>
      <w:r>
        <w:rPr>
          <w:b/>
        </w:rPr>
        <w:t>Дополнено 17.09.2026 по полученным выпискам. Готовность к открытию не подтверждена ни для пансионата, ни для хостела.</w:t>
      </w:r>
      <w:r>
        <w:t xml:space="preserve"> Доказанного абсолютного запрета на переустройство также не установлено. Приведенные ниже условия нужно подтвердить до решения об открытии.</w:t>
      </w:r>
    </w:p>
    <w:p>
      <w:r>
        <w:t xml:space="preserve">В файлах «Онлайн-выписка здание.docx» и «Онлайн_выписка_земельный_участок.docx» указано: </w:t>
      </w:r>
      <w:r>
        <w:rPr>
          <w:b/>
        </w:rPr>
        <w:t>«Данные актуальны на 13.03.2025»</w:t>
      </w:r>
      <w:r>
        <w:t>. Получение файлов в сентябре 2026 года не делает сведения текущими на эту дату. По проверенным характеристикам они повторяют прежние выписки.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7056"/>
      </w:tblGrid>
      <w:tr>
        <w:trPr>
          <w:tblHeader/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Поле выписки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Подтвержденные сведения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Земельный участок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50:22:0030304:198; 3 390 м²; земли населенных пунктов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Использование земли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Для размещения административных зданий; амбулаторно-поликлиническое обслуживание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Здание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50:22:0000000:6250; нежилое; наименование — здание нежилого назначения (техникум)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Площадь и этажи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903,8 м²; 2 этажа, включая подземные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Ограничения прав и обременения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Не зарегистрировано по представленным сведениям на 13.03.2025</w:t>
            </w:r>
          </w:p>
        </w:tc>
      </w:tr>
    </w:tbl>
    <w:p>
      <w:pPr>
        <w:spacing w:after="20"/>
      </w:pPr>
    </w:p>
    <w:p>
      <w:r>
        <w:t>Выписка здания также указывает 1951 год завершения строительства и стены «Из прочих материалов». Это не подтверждает огнестойкость. По объекту культурного наследия — «Данные отсутствуют»; сведений для разделов о расположении и плане нет. Отсутствие зарегистрированных обременений не исключает градостроительные и охранные ограничения.</w:t>
      </w:r>
    </w:p>
    <w:p>
      <w:r/>
      <w:r>
        <w:rPr>
          <w:b/>
        </w:rPr>
        <w:t>Код 4.7 «Гостиничное обслуживание» существует, но в данной выписке участка он не указан.</w:t>
      </w:r>
      <w:r>
        <w:t xml:space="preserve"> Допускает ли его действующая территориальная зона, по имеющемуся комплекту не установлено. Для хостела проверяется 4.7, для принятой модели пансионата — 3.2.1 «Дома социального обслуживания» либо допустимый охватывающий вид 3.2. Нужны актуальный ГПЗУ и регламент ПЗЗ именно этого участка. Нежилой статус здания и амбулаторное использование земли не заменяют эту проверку. </w:t>
      </w:r>
      <w:hyperlink r:id="rId10">
        <w:r>
          <w:rPr>
            <w:color w:val="24547B"/>
          </w:rPr>
          <w:t>Классификатор Росреестра</w:t>
        </w:r>
      </w:hyperlink>
      <w:r>
        <w:t>.</w:t>
      </w:r>
    </w:p>
    <w:p>
      <w:r/>
      <w:r>
        <w:rPr>
          <w:b/>
        </w:rPr>
        <w:t>Выписки не подтверждают проектные 1 843,1 м² и оформление реконструкции.</w:t>
      </w:r>
      <w:r>
        <w:t xml:space="preserve"> АР 2024 года содержит подвал, два этажа и мансарду, класс Ф3.4, С1 и противоречащие III/IV степени огнестойкости. Нужны документы законности выполненных работ, ввода или применимого исключения, технический план и актуальные сведения ЕГРН. Отсутствие этих документов в папке не доказывает, что их нет у собственника.</w:t>
      </w:r>
    </w:p>
    <w:p>
      <w:r>
        <w:t>Для пансионата с маломобильными людьми проверяется Ф1.1; для хостела — Ф1.2. Хостел предварительно проще по пожарным требованиям, но разрешенная вместимость и пригодность этого здания не подтверждены для обоих вариантов. Подробная проверка и источники находятся в папке «08_Проверка_назначения», сверка новых файлов — в «09_Проверка_новых_выписок».</w:t>
      </w:r>
    </w:p>
    <w:p>
      <w:r>
        <w:t>Финансовая модель сохранена без изменений: площадь 1 843,1 м² остается проектным расчетным допущением, а не установленной выписками разрешенной площадью. Ремонт и доведение здания по-прежнему оцениваются отдельной сметой.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7056"/>
      </w:tblGrid>
      <w:tr>
        <w:trPr>
          <w:tblHeader/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Условие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18"/>
              </w:rPr>
              <w:t>Что должно быть подтверждено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Земля и законная площадь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ПЗЗ, ГПЗУ, допустимый вид использования, оформление реконструкции, технический план и ввод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Пожарная пригодность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Ф1.1; для здания высотой два этажа и более по СП 2.13130.2020 — не ниже II степени и С0; проект эвакуации выбранных категорий жителей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Вместимость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60 продаваемых мест плюс две отдельные изоляционные койки; мансарда для проживания допускается только после проверки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Доступность и санитарная планировка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Перемещение между этажами, изолятор, прием, пищевые и хозяйственные потоки, санузлы и служебные зоны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Медицинская модель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Законный договор с лицензированным партнером либо собственная лицензируемая деятельность в необходимом объеме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Экономика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Подтверждение среднего тарифа и воронки заселения при аренде 700 ₽/м², достаточная ликвидность без подмены прибыльности финансированием убытка</w:t>
            </w:r>
          </w:p>
        </w:tc>
      </w:tr>
    </w:tbl>
    <w:p>
      <w:pPr>
        <w:spacing w:after="20"/>
      </w:pPr>
    </w:p>
    <w:p>
      <w:r>
        <w:t>Последовательность решения: техническая и правовая возможность → проверка спроса на нужную цену → отдельная смета ремонта и согласование ее финансирования → обновление совокупного бюджета → договор аренды и подготовка оператора → постепенное заселение с ежемесячным контролем.</w:t>
      </w:r>
    </w:p>
    <w:p>
      <w:r>
        <w:t>Срок строительной подготовки устанавливается отдельным проектом и сметой; в этой редакции он не оценивается. За 2–3 месяца до подтвержденной готовности комплектуются штат, поставщики, медицинский партнер и внутренние процессы. Нормы и разрешительные условия перепроверяются перед открытием, в том числе акты со сроком действия до конца 2026 года.</w:t>
      </w:r>
    </w:p>
    <w:p>
      <w:r/>
      <w:r>
        <w:rPr>
          <w:b/>
        </w:rPr>
        <w:t>Решение:</w:t>
      </w:r>
      <w:r>
        <w:t xml:space="preserve"> при 3 900 ₽ цель не выполняется; вариант около 4 800 ₽ требует проверки спроса и ресурсов ухода. Если эту цену или расчетное заселение подтвердить нельзя, при заданной аренде следует менять формат использования или отказываться от данной конфигурации пансионата.</w:t>
      </w:r>
    </w:p>
    <w:p>
      <w:pPr>
        <w:pStyle w:val="Heading1"/>
      </w:pPr>
      <w:r>
        <w:t>9. Проверка и история редакции</w:t>
      </w:r>
    </w:p>
    <w:p>
      <w:r>
        <w:t>17.09.2026 дополнена проверка здания по вновь полученным выпискам с датой актуальности 13.03.2025. Финансовые разделы 1–7 и обе книги Excel не изменены. Это уточнение правового и технического основания, а не новая финансовая редакция.</w:t>
      </w:r>
    </w:p>
    <w:p>
      <w:r>
        <w:t>Книга пересчитана в Microsoft Excel 16.0. Проверены связь аренды с площадью и ставкой, изменение календаря, включение НДС после порога, три сценария и восстановление базовых значений. Ошибок формул нет. Независимая расчетная реализация сопоставила 11 прогнозов по 24 месяца: 8 316 числовых сравнений, максимальное абсолютное расхождение менее 0,000001 ₽. Проверены все целые значения постоянного заселения от 1 до 60; при 3 900 ₽ и 30 днях не найдено безубыточной загрузки.</w:t>
      </w:r>
    </w:p>
    <w:p>
      <w:r>
        <w:t>Просмотрены пять вкладок Excel. Проверка подтверждает согласованность формул, но не подтверждает спрос, достаточность ухода, смету оборудования или разрешение на деятельность. Для работы с моделью в параметрах выбирается активный сценарий и изменяются входные значения; результаты пересчитываются формулами.</w:t>
      </w:r>
    </w:p>
    <w:p>
      <w:r>
        <w:t>Редакция 3 заменяет экономические рекомендации версий 1–2. Старые файлы сохранены для истории; они не являются актуальными расчетами по аренде. Исследование исходного объекта и 3D-концепция доступны в прежних папках; смена экономических условий не подтверждает согласованность планировки.</w:t>
      </w:r>
    </w:p>
    <w:p>
      <w:r>
        <w:t>Изменения: аренда связана с общей площадью и ставкой 700 ₽; НДС сверху отсутствует; базовые каникулы убраны; стоимость строительного ремонта и предположение о его оплате собственником исключены; пересчитаны депозит, денежный дефицит и необходимые тарифы.</w:t>
      </w:r>
    </w:p>
    <w:p>
      <w:pPr>
        <w:pStyle w:val="Heading1"/>
      </w:pPr>
      <w:r>
        <w:t>Основные источники</w:t>
      </w:r>
    </w:p>
    <w:p>
      <w:pPr>
        <w:spacing w:after="60" w:line="240" w:lineRule="auto"/>
      </w:pPr>
      <w:r>
        <w:rPr>
          <w:sz w:val="18"/>
        </w:rPr>
        <w:t>Полный реестр и оборудование — в папке «01_Исследование». Новая арендная ставка и исключение ремонта — прямые указания заказчика в этом обсуждении; площадь — АР 2024 года из исходной папки.</w:t>
      </w:r>
    </w:p>
    <w:p>
      <w:pPr>
        <w:pStyle w:val="ListBullet"/>
        <w:spacing w:after="60" w:line="240" w:lineRule="auto"/>
      </w:pPr>
      <w:r>
        <w:rPr>
          <w:sz w:val="18"/>
        </w:rPr>
      </w:r>
      <w:hyperlink r:id="rId11">
        <w:r>
          <w:rPr>
            <w:color w:val="24547B"/>
            <w:sz w:val="18"/>
          </w:rPr>
          <w:t>«Забота»: «Раменский»</w:t>
        </w:r>
      </w:hyperlink>
      <w:r>
        <w:rPr>
          <w:sz w:val="18"/>
        </w:rPr>
        <w:t xml:space="preserve"> и </w:t>
      </w:r>
      <w:hyperlink r:id="rId12">
        <w:r>
          <w:rPr>
            <w:color w:val="24547B"/>
            <w:sz w:val="18"/>
          </w:rPr>
          <w:t>«Золотой возраст»</w:t>
        </w:r>
      </w:hyperlink>
      <w:r>
        <w:rPr>
          <w:sz w:val="18"/>
        </w:rPr>
        <w:t>.</w:t>
      </w:r>
    </w:p>
    <w:p>
      <w:pPr>
        <w:pStyle w:val="ListBullet"/>
        <w:spacing w:after="60" w:line="240" w:lineRule="auto"/>
      </w:pPr>
      <w:r>
        <w:rPr>
          <w:sz w:val="18"/>
        </w:rPr>
      </w:r>
      <w:hyperlink r:id="rId13">
        <w:r>
          <w:rPr>
            <w:color w:val="24547B"/>
            <w:sz w:val="18"/>
          </w:rPr>
          <w:t>«Опека»: условия сентябрьской акции</w:t>
        </w:r>
      </w:hyperlink>
      <w:r>
        <w:rPr>
          <w:sz w:val="18"/>
        </w:rPr>
        <w:t>.</w:t>
      </w:r>
    </w:p>
    <w:p>
      <w:pPr>
        <w:pStyle w:val="ListBullet"/>
        <w:spacing w:after="60" w:line="240" w:lineRule="auto"/>
      </w:pPr>
      <w:r>
        <w:rPr>
          <w:sz w:val="18"/>
        </w:rPr>
      </w:r>
      <w:hyperlink r:id="rId14">
        <w:r>
          <w:rPr>
            <w:color w:val="24547B"/>
            <w:sz w:val="18"/>
          </w:rPr>
          <w:t>Senior Group: подробный прайс</w:t>
        </w:r>
      </w:hyperlink>
      <w:r>
        <w:rPr>
          <w:sz w:val="18"/>
        </w:rPr>
        <w:t>.</w:t>
      </w:r>
    </w:p>
    <w:p>
      <w:pPr>
        <w:pStyle w:val="ListBullet"/>
        <w:spacing w:after="60" w:line="240" w:lineRule="auto"/>
      </w:pPr>
      <w:r>
        <w:rPr>
          <w:sz w:val="18"/>
        </w:rPr>
      </w:r>
      <w:hyperlink r:id="rId15">
        <w:r>
          <w:rPr>
            <w:color w:val="24547B"/>
            <w:sz w:val="18"/>
          </w:rPr>
          <w:t>ФНС: порог НДС 20 млн ₽ на 2027–2029 годы</w:t>
        </w:r>
      </w:hyperlink>
      <w:r>
        <w:rPr>
          <w:sz w:val="18"/>
        </w:rPr>
        <w:t>.</w:t>
      </w:r>
    </w:p>
    <w:p>
      <w:pPr>
        <w:pStyle w:val="ListBullet"/>
        <w:spacing w:after="60" w:line="240" w:lineRule="auto"/>
      </w:pPr>
      <w:r>
        <w:rPr>
          <w:sz w:val="18"/>
        </w:rPr>
      </w:r>
      <w:hyperlink r:id="rId16">
        <w:r>
          <w:rPr>
            <w:color w:val="24547B"/>
            <w:sz w:val="18"/>
          </w:rPr>
          <w:t>ФНС: методические рекомендации по НДС на УСН в 2026 году</w:t>
        </w:r>
      </w:hyperlink>
      <w:r>
        <w:rPr>
          <w:sz w:val="18"/>
        </w:rPr>
        <w:t>.</w:t>
      </w:r>
    </w:p>
    <w:p>
      <w:pPr>
        <w:pStyle w:val="ListBullet"/>
        <w:spacing w:after="60" w:line="240" w:lineRule="auto"/>
      </w:pPr>
      <w:r>
        <w:rPr>
          <w:sz w:val="18"/>
        </w:rPr>
      </w:r>
      <w:hyperlink r:id="rId17">
        <w:r>
          <w:rPr>
            <w:color w:val="24547B"/>
            <w:sz w:val="18"/>
          </w:rPr>
          <w:t>СП 2.1.4284-26</w:t>
        </w:r>
      </w:hyperlink>
      <w:r>
        <w:rPr>
          <w:sz w:val="18"/>
        </w:rPr>
        <w:t xml:space="preserve"> и </w:t>
      </w:r>
      <w:hyperlink r:id="rId18">
        <w:r>
          <w:rPr>
            <w:color w:val="24547B"/>
            <w:sz w:val="18"/>
          </w:rPr>
          <w:t>СП 145.13330.2020</w:t>
        </w:r>
      </w:hyperlink>
      <w:r>
        <w:rPr>
          <w:sz w:val="18"/>
        </w:rPr>
        <w:t>.</w:t>
      </w:r>
    </w:p>
    <w:sectPr w:rsidR="00FC693F" w:rsidRPr="0006063C" w:rsidSect="00034616">
      <w:footerReference w:type="default" r:id="rId9"/>
      <w:pgSz w:w="12240" w:h="15840"/>
      <w:pgMar w:top="979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Малаховка · Рабочий бизнес-план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consultant.ru/document/cons_doc_LAW_371246/ce9537a598c41eedce29d39eb069ee6fdf7f09d4/" TargetMode="External"/><Relationship Id="rId11" Type="http://schemas.openxmlformats.org/officeDocument/2006/relationships/hyperlink" Target="https://www.pansion-zabota.ru/catalog/ramenskiy/" TargetMode="External"/><Relationship Id="rId12" Type="http://schemas.openxmlformats.org/officeDocument/2006/relationships/hyperlink" Target="https://www.pansion-zabota.ru/catalog/rezidentsiya-dlya-pozhilykh-zolotoy-vozrast/" TargetMode="External"/><Relationship Id="rId13" Type="http://schemas.openxmlformats.org/officeDocument/2006/relationships/hyperlink" Target="https://sgc-opeca.ru/msk/promotions/osennyaya-zabota-msk/" TargetMode="External"/><Relationship Id="rId14" Type="http://schemas.openxmlformats.org/officeDocument/2006/relationships/hyperlink" Target="https://www.seniorgroup.ru/prices/" TargetMode="External"/><Relationship Id="rId15" Type="http://schemas.openxmlformats.org/officeDocument/2006/relationships/hyperlink" Target="https://www.nalog.gov.ru/rn46/news/activities_fts/16636927/" TargetMode="External"/><Relationship Id="rId16" Type="http://schemas.openxmlformats.org/officeDocument/2006/relationships/hyperlink" Target="https://data.nalog.ru/html/sites/www.new.nalog.ru/doc/metod_usn_nds_2026.pdf" TargetMode="External"/><Relationship Id="rId17" Type="http://schemas.openxmlformats.org/officeDocument/2006/relationships/hyperlink" Target="https://www.garant.ru/products/ipo/prime/doc/414229111/" TargetMode="External"/><Relationship Id="rId18" Type="http://schemas.openxmlformats.org/officeDocument/2006/relationships/hyperlink" Target="https://base.garant.ru/40053583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/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