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Развитие карьера</w:t>
      </w:r>
    </w:p>
    <w:p>
      <w:r>
        <w:t>Известковый завод • Конкуренты • Мука марки С • Подтверждающие документы</w:t>
      </w:r>
    </w:p>
    <w:p>
      <w:r>
        <w:t>Дополнение к действующему инвестиционному бизнес-плану. Версия от 12 октября 2026 года. Рабочий документ для управленческого решения, не заключение о юридической готовности предприятия.</w:t>
      </w:r>
    </w:p>
    <w:p>
      <w:pPr>
        <w:pStyle w:val="Heading1"/>
      </w:pPr>
      <w:r>
        <w:t>1. Что меняется в проекте</w:t>
      </w:r>
    </w:p>
    <w:p>
      <w:r>
        <w:t>Новые направления дополняют действующий бизнес-план. Финансовая база перезапуска и лимит инвестора 65 млн руб. не увеличены автоматически. Исторические продажи, предложения и условные цели отделены от подписанных заказов. М1–М6 обозначают месяцы после начала работ, а не обещание внесезонного спроса.</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EEEEE"/>
          </w:tcPr>
          <w:p>
            <w:pPr>
              <w:spacing w:after="60"/>
            </w:pPr>
            <w:r>
              <w:rPr>
                <w:b/>
                <w:sz w:val="18"/>
              </w:rPr>
              <w:t>Направление</w:t>
            </w:r>
          </w:p>
        </w:tc>
        <w:tc>
          <w:tcPr>
            <w:tcW w:type="dxa" w:w="3360"/>
            <w:shd w:fill="EEEEEE"/>
          </w:tcPr>
          <w:p>
            <w:pPr>
              <w:spacing w:after="60"/>
            </w:pPr>
            <w:r>
              <w:rPr>
                <w:b/>
                <w:sz w:val="18"/>
              </w:rPr>
              <w:t>Что уже есть</w:t>
            </w:r>
          </w:p>
        </w:tc>
        <w:tc>
          <w:tcPr>
            <w:tcW w:type="dxa" w:w="3360"/>
            <w:shd w:fill="EEEEEE"/>
          </w:tcPr>
          <w:p>
            <w:pPr>
              <w:spacing w:after="60"/>
            </w:pPr>
            <w:r>
              <w:rPr>
                <w:b/>
                <w:sz w:val="18"/>
              </w:rPr>
              <w:t>Что делать сейчас</w:t>
            </w:r>
          </w:p>
        </w:tc>
      </w:tr>
      <w:tr>
        <w:trPr>
          <w:cantSplit/>
        </w:trPr>
        <w:tc>
          <w:tcPr>
            <w:tcW w:type="dxa" w:w="3360"/>
          </w:tcPr>
          <w:p>
            <w:pPr>
              <w:spacing w:after="60"/>
            </w:pPr>
            <w:r>
              <w:rPr>
                <w:sz w:val="18"/>
              </w:rPr>
              <w:t>Работа карьера</w:t>
            </w:r>
          </w:p>
        </w:tc>
        <w:tc>
          <w:tcPr>
            <w:tcW w:type="dxa" w:w="3360"/>
          </w:tcPr>
          <w:p>
            <w:pPr>
              <w:spacing w:after="60"/>
            </w:pPr>
            <w:r>
              <w:rPr>
                <w:sz w:val="18"/>
              </w:rPr>
              <w:t>Действующая модель и документы по сырью, продукции и отгрузкам</w:t>
            </w:r>
          </w:p>
        </w:tc>
        <w:tc>
          <w:tcPr>
            <w:tcW w:type="dxa" w:w="3360"/>
          </w:tcPr>
          <w:p>
            <w:pPr>
              <w:spacing w:after="60"/>
            </w:pPr>
            <w:r>
              <w:rPr>
                <w:sz w:val="18"/>
              </w:rPr>
              <w:t>Сохранять основной план и проверять реальные ограничения производства, отгрузки и денег</w:t>
            </w:r>
          </w:p>
        </w:tc>
      </w:tr>
      <w:tr>
        <w:trPr>
          <w:cantSplit/>
        </w:trPr>
        <w:tc>
          <w:tcPr>
            <w:tcW w:type="dxa" w:w="3360"/>
          </w:tcPr>
          <w:p>
            <w:pPr>
              <w:spacing w:after="60"/>
            </w:pPr>
            <w:r>
              <w:rPr>
                <w:sz w:val="18"/>
              </w:rPr>
              <w:t>Свой известковый завод</w:t>
            </w:r>
          </w:p>
        </w:tc>
        <w:tc>
          <w:tcPr>
            <w:tcW w:type="dxa" w:w="3360"/>
          </w:tcPr>
          <w:p>
            <w:pPr>
              <w:spacing w:after="60"/>
            </w:pPr>
            <w:r>
              <w:rPr>
                <w:sz w:val="18"/>
              </w:rPr>
              <w:t>Сырьевая оценка и исторический интерес к известняку 70–120</w:t>
            </w:r>
          </w:p>
        </w:tc>
        <w:tc>
          <w:tcPr>
            <w:tcW w:type="dxa" w:w="3360"/>
          </w:tcPr>
          <w:p>
            <w:pPr>
              <w:spacing w:after="60"/>
            </w:pPr>
            <w:r>
              <w:rPr>
                <w:sz w:val="18"/>
              </w:rPr>
              <w:t>Пробы, опытный обжиг, запросы покупателям, полная смета отдельного проекта</w:t>
            </w:r>
          </w:p>
        </w:tc>
      </w:tr>
      <w:tr>
        <w:trPr>
          <w:cantSplit/>
        </w:trPr>
        <w:tc>
          <w:tcPr>
            <w:tcW w:type="dxa" w:w="3360"/>
          </w:tcPr>
          <w:p>
            <w:pPr>
              <w:spacing w:after="60"/>
            </w:pPr>
            <w:r>
              <w:rPr>
                <w:sz w:val="18"/>
              </w:rPr>
              <w:t>Мука марки С</w:t>
            </w:r>
          </w:p>
        </w:tc>
        <w:tc>
          <w:tcPr>
            <w:tcW w:type="dxa" w:w="3360"/>
          </w:tcPr>
          <w:p>
            <w:pPr>
              <w:spacing w:after="60"/>
            </w:pPr>
            <w:r>
              <w:rPr>
                <w:sz w:val="18"/>
              </w:rPr>
              <w:t>Регистрационный комплект 2026, радиология, исторический канал ВК ХАРВЕСТЕРС</w:t>
            </w:r>
          </w:p>
        </w:tc>
        <w:tc>
          <w:tcPr>
            <w:tcW w:type="dxa" w:w="3360"/>
          </w:tcPr>
          <w:p>
            <w:pPr>
              <w:spacing w:after="60"/>
            </w:pPr>
            <w:r>
              <w:rPr>
                <w:sz w:val="18"/>
              </w:rPr>
              <w:t>Согласовать права, качество партии, подготовку и месячные заявки</w:t>
            </w:r>
          </w:p>
        </w:tc>
      </w:tr>
      <w:tr>
        <w:trPr>
          <w:cantSplit/>
        </w:trPr>
        <w:tc>
          <w:tcPr>
            <w:tcW w:type="dxa" w:w="3360"/>
          </w:tcPr>
          <w:p>
            <w:pPr>
              <w:spacing w:after="60"/>
            </w:pPr>
            <w:r>
              <w:rPr>
                <w:sz w:val="18"/>
              </w:rPr>
              <w:t>Разрешения и отчётность</w:t>
            </w:r>
          </w:p>
        </w:tc>
        <w:tc>
          <w:tcPr>
            <w:tcW w:type="dxa" w:w="3360"/>
          </w:tcPr>
          <w:p>
            <w:pPr>
              <w:spacing w:after="60"/>
            </w:pPr>
            <w:r>
              <w:rPr>
                <w:sz w:val="18"/>
              </w:rPr>
              <w:t>Реестр найденных документов с точными источниками</w:t>
            </w:r>
          </w:p>
        </w:tc>
        <w:tc>
          <w:tcPr>
            <w:tcW w:type="dxa" w:w="3360"/>
          </w:tcPr>
          <w:p>
            <w:pPr>
              <w:spacing w:after="60"/>
            </w:pPr>
            <w:r>
              <w:rPr>
                <w:sz w:val="18"/>
              </w:rPr>
              <w:t>Проверить актуальность и закрыть недостающие подтверждения до роста</w:t>
            </w:r>
          </w:p>
        </w:tc>
      </w:tr>
    </w:tbl>
    <w:p>
      <w:r>
        <w:t>Ориентир действующей модели М6 — 75,7 млн руб. выручки с НДС: щебень 50 тыс. т × 1 150 руб. + глина 40 тыс. т × 380 руб. + отсев 10 тыс. т × 300 руб. Это сценарий, не достигнутый факт. Новые продукты не прибавлены к этим тоннам и суммам.</w:t>
      </w:r>
    </w:p>
    <w:p>
      <w:r>
        <w:t>Лимит инвестора 65 млн руб. — предел доступного финансирования, а не обязательство потратить его полностью. Печь, помол, сушка и новые подключения не признаны бесплатными и не включены в базовый бюджет без расчёта.</w:t>
      </w:r>
    </w:p>
    <w:p>
      <w:r>
        <w:br w:type="page"/>
      </w:r>
    </w:p>
    <w:p>
      <w:pPr>
        <w:pStyle w:val="Heading1"/>
      </w:pPr>
      <w:r>
        <w:t>2. Собственный известковый завод</w:t>
      </w:r>
    </w:p>
    <w:p>
      <w:r>
        <w:t>Предлагается отдельный проект производства негашёной извести с последующим решением о гидратации и помоле. Первые шесть месяцев — проверка сырья, спроса, подключения и расчёт проекта. Покупка печи и строительство не включены автоматически в деньги перезапуска карьера.</w:t>
      </w:r>
    </w:p>
    <w:p>
      <w:pPr>
        <w:pStyle w:val="ListBullet"/>
      </w:pPr>
      <w:r>
        <w:t>Доказательство интереса Фельс касается покупки известняка. Подтверждённых заказов на известь будущего собственного завода в рассмотренном комплекте нет.</w:t>
      </w:r>
    </w:p>
    <w:p>
      <w:pPr>
        <w:pStyle w:val="ListBullet"/>
      </w:pPr>
      <w:r>
        <w:t>Геологическое заключение о пригодности сырья положительное, но не заменяет обжиг пробы в выбранной технологии. У плотного камня есть риск неоднородного обжига и пережога.</w:t>
      </w:r>
    </w:p>
    <w:p>
      <w:pPr>
        <w:pStyle w:val="ListBullet"/>
      </w:pPr>
      <w:r>
        <w:t>Письменно согласовать CaCO3, MgO, примеси, влажность, гранулометрический состав, реактивность и активные оксиды готовой извести. Не сравнивать сумму карбонатов с порогом одного CaCO3.</w:t>
      </w:r>
    </w:p>
    <w:p>
      <w:pPr>
        <w:pStyle w:val="ListBullet"/>
      </w:pPr>
      <w:r>
        <w:t>Земля, технологическое присоединение газа и электричества, вода, дороги, санитарные и экологические требования проверяются для конкретной площадки и технологии. Два газовых ввода на схеме не равны разрешённому потреблению печи.</w:t>
      </w:r>
    </w:p>
    <w:p>
      <w:pPr>
        <w:pStyle w:val="ListBullet"/>
      </w:pPr>
      <w:r>
        <w:t>Капитальные затраты, график платежей и себестоимость формируются из предложений проектировщика и поставщиков. Неустановленная сумма не означает нулевой расход.</w:t>
      </w:r>
    </w:p>
    <w:p>
      <w:pPr>
        <w:pStyle w:val="ListBullet"/>
      </w:pPr>
      <w:r>
        <w:t>Сертификатов и разрешений на ещё не построенный завод нет. Документы на щебень, глину и муку нельзя выдавать за разрешение на выпуск готовой извести.</w:t>
      </w:r>
    </w:p>
    <w:p>
      <w:pPr>
        <w:pStyle w:val="Heading2"/>
      </w:pPr>
      <w:r>
        <w:t>Рынок сырья и рынок извести — не одно и то же</w:t>
      </w:r>
    </w:p>
    <w:p>
      <w:r>
        <w:t>Письмо «Фельс Известь» от 24.11.2020 по нашему месторождению предусматривает предложение на 2021 год: 15 000 т/месяц известняка 70–120, пробная партия 3 000 т, неснижаемый запас 10 000 т, оплата с отсрочкой до 21 дня. Это положительный исторический след интереса, но не текущий заказ и не сбыт готовой извести будущего завода.</w:t>
      </w:r>
    </w:p>
    <w:p>
      <w:r>
        <w:t>В старых пробах нашего камня CaCO3: 95,19%, 95,95% и 92,15%. В исторической спецификации другого карьера для Фельс требовалось более 97%. Это не запрет на наши поставки: нужно проверить действующий уступ и согласовать актуальную спецификацию. Нельзя подменять CaCO3 суммой карбонатов.</w:t>
      </w:r>
    </w:p>
    <w:p>
      <w:r>
        <w:br w:type="page"/>
      </w:r>
    </w:p>
    <w:p>
      <w:pPr>
        <w:pStyle w:val="Heading1"/>
      </w:pPr>
      <w:r>
        <w:t>3. Дорожная карта известкового проекта</w:t>
      </w:r>
    </w:p>
    <w:p>
      <w:pPr>
        <w:pStyle w:val="Heading2"/>
      </w:pPr>
      <w:r>
        <w:t>М1 — определить продукт и сырьё</w:t>
      </w:r>
    </w:p>
    <w:p>
      <w:r>
        <w:t>Отобрать послойные пробы действующего забоя с лабораторией.; Выбрать продукт: негашёная комовая/молотая известь; гидратную известь считать отдельной линией.; Согласовать с потенциальными покупателями перечень показателей и порядок испытаний.</w:t>
      </w:r>
    </w:p>
    <w:p>
      <w:r>
        <w:t>Условие перехода: Есть протоколы и техническая спецификация; целевой продукт не смешан с мукой и щебнем.</w:t>
      </w:r>
    </w:p>
    <w:p>
      <w:pPr>
        <w:pStyle w:val="Heading2"/>
      </w:pPr>
      <w:r>
        <w:t>М2 — подтвердить интерес покупателей</w:t>
      </w:r>
    </w:p>
    <w:p>
      <w:r>
        <w:t>Направить после согласования проект запроса покупателям стройматериалов, газобетона, водоподготовки и другим подходящим производствам.; Получить наименование юридического лица, продукт, годовой и месячный объём, спецификацию, цену без/с НДС, доставку, оплату и процедуру допуска.; Запросить отдельно интерес Фельс/оператора завода в Товаркове к известняку 70–120; не записывать этот объём как сбыт готовой извести.</w:t>
      </w:r>
    </w:p>
    <w:p>
      <w:r>
        <w:t>Условие перехода: Есть письменные ответы, а не только список компаний. Одна потребность закреплена за одним каналом.</w:t>
      </w:r>
    </w:p>
    <w:p>
      <w:pPr>
        <w:pStyle w:val="Heading2"/>
      </w:pPr>
      <w:r>
        <w:t>М2–М3 — испытать технологию</w:t>
      </w:r>
    </w:p>
    <w:p>
      <w:r>
        <w:t>Провести лабораторный и опытный обжиг репрезентативной пробы.; Определить выход извести из тонны сырья, активность, недожог/пережог, пылеунос и энергорасход.; Передать образцы покупателям и получить результаты их технологического допуска.</w:t>
      </w:r>
    </w:p>
    <w:p>
      <w:r>
        <w:t>Условие перехода: Выбранная технология даёт нужное качество, подтверждённое протоколом и покупателем.</w:t>
      </w:r>
    </w:p>
    <w:p>
      <w:pPr>
        <w:pStyle w:val="Heading2"/>
      </w:pPr>
      <w:r>
        <w:t>М3–М4 — рассчитать площадку и оснащение</w:t>
      </w:r>
    </w:p>
    <w:p>
      <w:r>
        <w:t>Получить предложения на печь, подготовку сырья, аспирацию, хранение, фасовку, погрузку и лабораторию.; Уточнить технические условия газа/электричества и капитальные работы.; Предусмотреть персонал, ремонт, огнеупоры, резерв топлива и безопасную эксплуатацию.</w:t>
      </w:r>
    </w:p>
    <w:p>
      <w:r>
        <w:t>Условие перехода: Полная смета и календарь строительства, не только цена печи.</w:t>
      </w:r>
    </w:p>
    <w:p>
      <w:pPr>
        <w:pStyle w:val="Heading2"/>
      </w:pPr>
      <w:r>
        <w:t>М5–М6 — принять инвестиционное решение</w:t>
      </w:r>
    </w:p>
    <w:p>
      <w:r>
        <w:t>Составить отдельную помесячную модель завода, включая строительство, пуск, оборотку, налоги, сезонность и простои.; Сопоставить себестоимость с подтверждённой ценой покупателей и альтернативой продажи камня.; Согласовать отдельное финансирование и юридические условия; не изымать налоговый и ремонтный резерв карьера.</w:t>
      </w:r>
    </w:p>
    <w:p>
      <w:r>
        <w:t>Условие перехода: Решение строить, доработать или отложить принимается по подтверждённой экономике. Срок пуска определяется проектом, не обещан в М6.</w:t>
      </w:r>
    </w:p>
    <w:p>
      <w:r>
        <w:br w:type="page"/>
      </w:r>
    </w:p>
    <w:p>
      <w:pPr>
        <w:pStyle w:val="Heading1"/>
      </w:pPr>
      <w:r>
        <w:t>4. Экономика завода: как принимать решение</w:t>
      </w:r>
    </w:p>
    <w:p>
      <w:pPr>
        <w:pStyle w:val="ListBullet"/>
      </w:pPr>
      <w:r>
        <w:t>Выручка = проданные тонны извести × согласованная цена без НДС.</w:t>
      </w:r>
    </w:p>
    <w:p>
      <w:pPr>
        <w:pStyle w:val="ListBullet"/>
      </w:pPr>
      <w:r>
        <w:t>Выход извести из камня — результат обжига, не фиксированная догадка. Известняк для завода вычитается из внешних продаж карьера.</w:t>
      </w:r>
    </w:p>
    <w:p>
      <w:pPr>
        <w:pStyle w:val="ListBullet"/>
      </w:pPr>
      <w:r>
        <w:t>Себестоимость включает добычу и подготовку сырья, топливо, электричество, оплату труда, ремонт, огнеупоры, аспирацию, упаковку, лабораторию и логистику.</w:t>
      </w:r>
    </w:p>
    <w:p>
      <w:pPr>
        <w:pStyle w:val="ListBullet"/>
      </w:pPr>
      <w:r>
        <w:t>Денежная потребность = капитальные платежи + пусковые расходы + запас сырья/продукции + дебиторка + обязательные резервы − полученные авансы − согласованная отсрочка поставщиков.</w:t>
      </w:r>
    </w:p>
    <w:tbl>
      <w:tblPr>
        <w:tblStyle w:val="TableGrid"/>
        <w:tblW w:type="auto" w:w="0"/>
        <w:tblLook w:firstColumn="1" w:firstRow="1" w:lastColumn="0" w:lastRow="0" w:noHBand="0" w:noVBand="1" w:val="04A0"/>
      </w:tblPr>
      <w:tblGrid>
        <w:gridCol w:w="5040"/>
        <w:gridCol w:w="5040"/>
      </w:tblGrid>
      <w:tr>
        <w:trPr>
          <w:tblHeader/>
          <w:cantSplit/>
        </w:trPr>
        <w:tc>
          <w:tcPr>
            <w:tcW w:type="dxa" w:w="5040"/>
            <w:shd w:fill="EEEEEE"/>
          </w:tcPr>
          <w:p>
            <w:pPr>
              <w:spacing w:after="60"/>
            </w:pPr>
            <w:r>
              <w:rPr>
                <w:b/>
                <w:sz w:val="18"/>
              </w:rPr>
              <w:t>Расчётный блок</w:t>
            </w:r>
          </w:p>
        </w:tc>
        <w:tc>
          <w:tcPr>
            <w:tcW w:type="dxa" w:w="5040"/>
            <w:shd w:fill="EEEEEE"/>
          </w:tcPr>
          <w:p>
            <w:pPr>
              <w:spacing w:after="60"/>
            </w:pPr>
            <w:r>
              <w:rPr>
                <w:b/>
                <w:sz w:val="18"/>
              </w:rPr>
              <w:t>Какие данные нужны</w:t>
            </w:r>
          </w:p>
        </w:tc>
      </w:tr>
      <w:tr>
        <w:trPr>
          <w:cantSplit/>
        </w:trPr>
        <w:tc>
          <w:tcPr>
            <w:tcW w:type="dxa" w:w="5040"/>
          </w:tcPr>
          <w:p>
            <w:pPr>
              <w:spacing w:after="60"/>
            </w:pPr>
            <w:r>
              <w:rPr>
                <w:sz w:val="18"/>
              </w:rPr>
              <w:t>Продажи</w:t>
            </w:r>
          </w:p>
        </w:tc>
        <w:tc>
          <w:tcPr>
            <w:tcW w:type="dxa" w:w="5040"/>
          </w:tcPr>
          <w:p>
            <w:pPr>
              <w:spacing w:after="60"/>
            </w:pPr>
            <w:r>
              <w:rPr>
                <w:sz w:val="18"/>
              </w:rPr>
              <w:t>Письменные ответы покупателей, требуемый продукт, цена, НДС, месяцы поставки, приёмка, доставка и оплата</w:t>
            </w:r>
          </w:p>
        </w:tc>
      </w:tr>
      <w:tr>
        <w:trPr>
          <w:cantSplit/>
        </w:trPr>
        <w:tc>
          <w:tcPr>
            <w:tcW w:type="dxa" w:w="5040"/>
          </w:tcPr>
          <w:p>
            <w:pPr>
              <w:spacing w:after="60"/>
            </w:pPr>
            <w:r>
              <w:rPr>
                <w:sz w:val="18"/>
              </w:rPr>
              <w:t>Материальный баланс</w:t>
            </w:r>
          </w:p>
        </w:tc>
        <w:tc>
          <w:tcPr>
            <w:tcW w:type="dxa" w:w="5040"/>
          </w:tcPr>
          <w:p>
            <w:pPr>
              <w:spacing w:after="60"/>
            </w:pPr>
            <w:r>
              <w:rPr>
                <w:sz w:val="18"/>
              </w:rPr>
              <w:t>Тонны камня на тонну извести, годный выход, пыль, брак, возврат, потребление камня вместо внешней продажи</w:t>
            </w:r>
          </w:p>
        </w:tc>
      </w:tr>
      <w:tr>
        <w:trPr>
          <w:cantSplit/>
        </w:trPr>
        <w:tc>
          <w:tcPr>
            <w:tcW w:type="dxa" w:w="5040"/>
          </w:tcPr>
          <w:p>
            <w:pPr>
              <w:spacing w:after="60"/>
            </w:pPr>
            <w:r>
              <w:rPr>
                <w:sz w:val="18"/>
              </w:rPr>
              <w:t>Производство</w:t>
            </w:r>
          </w:p>
        </w:tc>
        <w:tc>
          <w:tcPr>
            <w:tcW w:type="dxa" w:w="5040"/>
          </w:tcPr>
          <w:p>
            <w:pPr>
              <w:spacing w:after="60"/>
            </w:pPr>
            <w:r>
              <w:rPr>
                <w:sz w:val="18"/>
              </w:rPr>
              <w:t>Полная линия, гарантированная мощность, доступность газа/электричества, сменность, персонал и ремонт</w:t>
            </w:r>
          </w:p>
        </w:tc>
      </w:tr>
      <w:tr>
        <w:trPr>
          <w:cantSplit/>
        </w:trPr>
        <w:tc>
          <w:tcPr>
            <w:tcW w:type="dxa" w:w="5040"/>
          </w:tcPr>
          <w:p>
            <w:pPr>
              <w:spacing w:after="60"/>
            </w:pPr>
            <w:r>
              <w:rPr>
                <w:sz w:val="18"/>
              </w:rPr>
              <w:t>Инвестиции</w:t>
            </w:r>
          </w:p>
        </w:tc>
        <w:tc>
          <w:tcPr>
            <w:tcW w:type="dxa" w:w="5040"/>
          </w:tcPr>
          <w:p>
            <w:pPr>
              <w:spacing w:after="60"/>
            </w:pPr>
            <w:r>
              <w:rPr>
                <w:sz w:val="18"/>
              </w:rPr>
              <w:t>Проектирование, печь, подготовка, аспирация, сети, строительство, склады, лаборатория, монтаж и пуск</w:t>
            </w:r>
          </w:p>
        </w:tc>
      </w:tr>
      <w:tr>
        <w:trPr>
          <w:cantSplit/>
        </w:trPr>
        <w:tc>
          <w:tcPr>
            <w:tcW w:type="dxa" w:w="5040"/>
          </w:tcPr>
          <w:p>
            <w:pPr>
              <w:spacing w:after="60"/>
            </w:pPr>
            <w:r>
              <w:rPr>
                <w:sz w:val="18"/>
              </w:rPr>
              <w:t>Деньги</w:t>
            </w:r>
          </w:p>
        </w:tc>
        <w:tc>
          <w:tcPr>
            <w:tcW w:type="dxa" w:w="5040"/>
          </w:tcPr>
          <w:p>
            <w:pPr>
              <w:spacing w:after="60"/>
            </w:pPr>
            <w:r>
              <w:rPr>
                <w:sz w:val="18"/>
              </w:rPr>
              <w:t>Авансы поставщикам, платежи по этапам, запас, отсрочка покупателей, налоги, ремонтный резерв, допустимый минимум кассы</w:t>
            </w:r>
          </w:p>
        </w:tc>
      </w:tr>
    </w:tbl>
    <w:p>
      <w:r>
        <w:t>Пока нет испытаний и коммерческих предложений, точная окупаемость завода не установлена. Неизвестные параметры не заменяются нулевыми затратами. Первые шесть месяцев — подготовка инвестиционного решения; строительство завода и его пуск имеют отдельный график.</w:t>
      </w:r>
    </w:p>
    <w:tbl>
      <w:tblPr>
        <w:tblStyle w:val="TableGrid"/>
        <w:tblW w:type="auto" w:w="0"/>
        <w:tblLook w:firstColumn="1" w:firstRow="1" w:lastColumn="0" w:lastRow="0" w:noHBand="0" w:noVBand="1" w:val="04A0"/>
      </w:tblPr>
      <w:tblGrid>
        <w:gridCol w:w="5040"/>
        <w:gridCol w:w="5040"/>
      </w:tblGrid>
      <w:tr>
        <w:trPr>
          <w:tblHeader/>
          <w:cantSplit/>
        </w:trPr>
        <w:tc>
          <w:tcPr>
            <w:tcW w:type="dxa" w:w="5040"/>
            <w:shd w:fill="EEEEEE"/>
          </w:tcPr>
          <w:p>
            <w:pPr>
              <w:spacing w:after="60"/>
            </w:pPr>
            <w:r>
              <w:rPr>
                <w:b/>
                <w:sz w:val="18"/>
              </w:rPr>
              <w:t>Решение</w:t>
            </w:r>
          </w:p>
        </w:tc>
        <w:tc>
          <w:tcPr>
            <w:tcW w:type="dxa" w:w="5040"/>
            <w:shd w:fill="EEEEEE"/>
          </w:tcPr>
          <w:p>
            <w:pPr>
              <w:spacing w:after="60"/>
            </w:pPr>
            <w:r>
              <w:rPr>
                <w:b/>
                <w:sz w:val="18"/>
              </w:rPr>
              <w:t>Условие</w:t>
            </w:r>
          </w:p>
        </w:tc>
      </w:tr>
      <w:tr>
        <w:trPr>
          <w:cantSplit/>
        </w:trPr>
        <w:tc>
          <w:tcPr>
            <w:tcW w:type="dxa" w:w="5040"/>
          </w:tcPr>
          <w:p>
            <w:pPr>
              <w:spacing w:after="60"/>
            </w:pPr>
            <w:r>
              <w:rPr>
                <w:sz w:val="18"/>
              </w:rPr>
              <w:t>Развивать</w:t>
            </w:r>
          </w:p>
        </w:tc>
        <w:tc>
          <w:tcPr>
            <w:tcW w:type="dxa" w:w="5040"/>
          </w:tcPr>
          <w:p>
            <w:pPr>
              <w:spacing w:after="60"/>
            </w:pPr>
            <w:r>
              <w:rPr>
                <w:sz w:val="18"/>
              </w:rPr>
              <w:t>Подтверждены качество, покупатель, подключения, полная смета и положительный денежный поток с резервами</w:t>
            </w:r>
          </w:p>
        </w:tc>
      </w:tr>
      <w:tr>
        <w:trPr>
          <w:cantSplit/>
        </w:trPr>
        <w:tc>
          <w:tcPr>
            <w:tcW w:type="dxa" w:w="5040"/>
          </w:tcPr>
          <w:p>
            <w:pPr>
              <w:spacing w:after="60"/>
            </w:pPr>
            <w:r>
              <w:rPr>
                <w:sz w:val="18"/>
              </w:rPr>
              <w:t>Испытать и доработать</w:t>
            </w:r>
          </w:p>
        </w:tc>
        <w:tc>
          <w:tcPr>
            <w:tcW w:type="dxa" w:w="5040"/>
          </w:tcPr>
          <w:p>
            <w:pPr>
              <w:spacing w:after="60"/>
            </w:pPr>
            <w:r>
              <w:rPr>
                <w:sz w:val="18"/>
              </w:rPr>
              <w:t>Есть рынок и сырьё, но не получен технологический допуск или нет согласованной цены</w:t>
            </w:r>
          </w:p>
        </w:tc>
      </w:tr>
      <w:tr>
        <w:trPr>
          <w:cantSplit/>
        </w:trPr>
        <w:tc>
          <w:tcPr>
            <w:tcW w:type="dxa" w:w="5040"/>
          </w:tcPr>
          <w:p>
            <w:pPr>
              <w:spacing w:after="60"/>
            </w:pPr>
            <w:r>
              <w:rPr>
                <w:sz w:val="18"/>
              </w:rPr>
              <w:t>Отложить</w:t>
            </w:r>
          </w:p>
        </w:tc>
        <w:tc>
          <w:tcPr>
            <w:tcW w:type="dxa" w:w="5040"/>
          </w:tcPr>
          <w:p>
            <w:pPr>
              <w:spacing w:after="60"/>
            </w:pPr>
            <w:r>
              <w:rPr>
                <w:sz w:val="18"/>
              </w:rPr>
              <w:t>Проект требует денег на налоги/ремонт основного карьера либо окупаемость держится на неподтверждённых объёмах</w:t>
            </w:r>
          </w:p>
        </w:tc>
      </w:tr>
    </w:tbl>
    <w:p>
      <w:r>
        <w:br w:type="page"/>
      </w:r>
    </w:p>
    <w:p>
      <w:pPr>
        <w:pStyle w:val="Heading1"/>
      </w:pPr>
      <w:r>
        <w:t>5. Конкуренты: как устроен их бизнес</w:t>
      </w:r>
    </w:p>
    <w:p>
      <w:pPr>
        <w:pStyle w:val="Heading2"/>
      </w:pPr>
      <w:r>
        <w:t>Восточные Берники</w:t>
      </w:r>
    </w:p>
    <w:p>
      <w:r>
        <w:t>Массовый выпуск нескольких фракций щебня, продажа отсева и муки, автомобильный и железнодорожный сбыт. Большой ассортимент позволяет продавать разные выходы одного передела; промышленная мука и фракция 70–120 создают отдельные рынки помимо дорожного строительства.</w:t>
      </w:r>
    </w:p>
    <w:p>
      <w:r>
        <w:t>На дату проверки: Официальный сайт доступен на 12.10.2026, содержит ассортимент, цены и обещание круглосуточной отгрузки. Официальная региональная новость от 04.06.2026 сообщает о соглашении по модернизации примерно на 1 млрд руб. Это заявленная инвестиция, а не подтверждённый объём уже освоенных средств или введённой мощности. Текущие месячные отгрузки, загрузка производства, чистая прибыль и дебиторская задолженность из первичной отчётности не подтверждены.</w:t>
      </w:r>
    </w:p>
    <w:p>
      <w:pPr>
        <w:pStyle w:val="Heading2"/>
      </w:pPr>
      <w:r>
        <w:t>Пореченский карьер</w:t>
      </w:r>
    </w:p>
    <w:p>
      <w:r>
        <w:t>Ассортимент фракций известнякового щебня и минерального порошка, промышленный сбыт, комбинация ж/д и автосамовывоза. Ценность для покупателя извести — химический состав и стабильный размер куска, а не только прочность щебня.</w:t>
      </w:r>
    </w:p>
    <w:p>
      <w:r>
        <w:t>На дату проверки: Идентичность АО подтверждена публичным реестром регистратора от 10.10.2026. Первичный актуальный прайс, выполненные объёмы 2026 года и финансовая отчётность ФНС не получены. Исторические планы не описывают сегодняшнюю загрузку.</w:t>
      </w:r>
    </w:p>
    <w:p>
      <w:pPr>
        <w:pStyle w:val="Heading2"/>
      </w:pPr>
      <w:r>
        <w:t>Рождественский карьер</w:t>
      </w:r>
    </w:p>
    <w:p>
      <w:r>
        <w:t>Поставка известняковой продукции несколькими логистическими каналами. Использование складских остатков позволяет в отдельный месяц продавать больше, чем произвести; запас является оборотным капиталом и должен иметь подтверждённое количество и качество.</w:t>
      </w:r>
    </w:p>
    <w:p>
      <w:r>
        <w:t>На дату проверки: АО идентифицировано по реестру регистратора от 10.10.2026. Современная мощность, фактические продажи и финансовые результаты из первичных источников не подтверждены.</w:t>
      </w:r>
    </w:p>
    <w:p>
      <w:pPr>
        <w:pStyle w:val="Heading2"/>
      </w:pPr>
      <w:r>
        <w:t>Михайловский ГОК — покупатель, не прямой конкурент</w:t>
      </w:r>
    </w:p>
    <w:p>
      <w:r>
        <w:t>Железорудное производство использует флюсовый известняк как технологическое сырьё. Поэтому переписка с ГОК иллюстрирует промышленный канал сбыта для известняка, а не наличие рядом ещё одного известнякового карьера.</w:t>
      </w:r>
    </w:p>
    <w:p>
      <w:r>
        <w:t>На дату проверки: Официальный Металлоинвест описывает действующий железорудный комбинат в Железногорске и его продукцию. Текущий запрос на наш известняк, потребность 2026 года и квалификация нашего сырья не подтверждены.</w:t>
      </w:r>
    </w:p>
    <w:p>
      <w:r>
        <w:t>20 и 50 км в названиях папок — ориентиры из исходного обсуждения, не проверенные маршруты доставки. Опубликованные Берниками 25 км от Тулы не равны расстоянию от нашего карьера. Для сравнения необходимо считать маршрут от ворот каждого карьера до конкретного покупателя.</w:t>
      </w:r>
    </w:p>
    <w:p>
      <w:r>
        <w:br w:type="page"/>
      </w:r>
    </w:p>
    <w:p>
      <w:pPr>
        <w:pStyle w:val="Heading1"/>
      </w:pPr>
      <w:r>
        <w:t>6. Какие показатели конкурентов можно использовать</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EEEEE"/>
          </w:tcPr>
          <w:p>
            <w:pPr>
              <w:spacing w:after="60"/>
            </w:pPr>
            <w:r>
              <w:rPr>
                <w:b/>
                <w:sz w:val="18"/>
              </w:rPr>
              <w:t>Источник / период</w:t>
            </w:r>
          </w:p>
        </w:tc>
        <w:tc>
          <w:tcPr>
            <w:tcW w:type="dxa" w:w="3360"/>
            <w:shd w:fill="EEEEEE"/>
          </w:tcPr>
          <w:p>
            <w:pPr>
              <w:spacing w:after="60"/>
            </w:pPr>
            <w:r>
              <w:rPr>
                <w:b/>
                <w:sz w:val="18"/>
              </w:rPr>
              <w:t>Показатель</w:t>
            </w:r>
          </w:p>
        </w:tc>
        <w:tc>
          <w:tcPr>
            <w:tcW w:type="dxa" w:w="3360"/>
            <w:shd w:fill="EEEEEE"/>
          </w:tcPr>
          <w:p>
            <w:pPr>
              <w:spacing w:after="60"/>
            </w:pPr>
            <w:r>
              <w:rPr>
                <w:b/>
                <w:sz w:val="18"/>
              </w:rPr>
              <w:t>Ограничение</w:t>
            </w:r>
          </w:p>
        </w:tc>
      </w:tr>
      <w:tr>
        <w:trPr>
          <w:cantSplit/>
        </w:trPr>
        <w:tc>
          <w:tcPr>
            <w:tcW w:type="dxa" w:w="3360"/>
          </w:tcPr>
          <w:p>
            <w:pPr>
              <w:spacing w:after="60"/>
            </w:pPr>
            <w:r>
              <w:rPr>
                <w:sz w:val="18"/>
              </w:rPr>
              <w:t>Берники, январь–ноябрь 2020</w:t>
            </w:r>
          </w:p>
        </w:tc>
        <w:tc>
          <w:tcPr>
            <w:tcW w:type="dxa" w:w="3360"/>
          </w:tcPr>
          <w:p>
            <w:pPr>
              <w:spacing w:after="60"/>
            </w:pPr>
            <w:r>
              <w:rPr>
                <w:sz w:val="18"/>
              </w:rPr>
              <w:t>2 464 500 т продаж за 11 месяцев</w:t>
            </w:r>
          </w:p>
        </w:tc>
        <w:tc>
          <w:tcPr>
            <w:tcW w:type="dxa" w:w="3360"/>
          </w:tcPr>
          <w:p>
            <w:pPr>
              <w:spacing w:after="60"/>
            </w:pPr>
            <w:r>
              <w:rPr>
                <w:sz w:val="18"/>
              </w:rPr>
              <w:t>Не годовая мощность и не текущий объём</w:t>
            </w:r>
          </w:p>
        </w:tc>
      </w:tr>
      <w:tr>
        <w:trPr>
          <w:cantSplit/>
        </w:trPr>
        <w:tc>
          <w:tcPr>
            <w:tcW w:type="dxa" w:w="3360"/>
          </w:tcPr>
          <w:p>
            <w:pPr>
              <w:spacing w:after="60"/>
            </w:pPr>
            <w:r>
              <w:rPr>
                <w:sz w:val="18"/>
              </w:rPr>
              <w:t>Берники, июль 2020</w:t>
            </w:r>
          </w:p>
        </w:tc>
        <w:tc>
          <w:tcPr>
            <w:tcW w:type="dxa" w:w="3360"/>
          </w:tcPr>
          <w:p>
            <w:pPr>
              <w:spacing w:after="60"/>
            </w:pPr>
            <w:r>
              <w:rPr>
                <w:sz w:val="18"/>
              </w:rPr>
              <w:t>244 889,12 т; 99,345 млн руб. без НДС</w:t>
            </w:r>
          </w:p>
        </w:tc>
        <w:tc>
          <w:tcPr>
            <w:tcW w:type="dxa" w:w="3360"/>
          </w:tcPr>
          <w:p>
            <w:pPr>
              <w:spacing w:after="60"/>
            </w:pPr>
            <w:r>
              <w:rPr>
                <w:sz w:val="18"/>
              </w:rPr>
              <w:t>Исторический факт продаж, не прогноз нашего карьера</w:t>
            </w:r>
          </w:p>
        </w:tc>
      </w:tr>
      <w:tr>
        <w:trPr>
          <w:cantSplit/>
        </w:trPr>
        <w:tc>
          <w:tcPr>
            <w:tcW w:type="dxa" w:w="3360"/>
          </w:tcPr>
          <w:p>
            <w:pPr>
              <w:spacing w:after="60"/>
            </w:pPr>
            <w:r>
              <w:rPr>
                <w:sz w:val="18"/>
              </w:rPr>
              <w:t>Фельс в июле 2020</w:t>
            </w:r>
          </w:p>
        </w:tc>
        <w:tc>
          <w:tcPr>
            <w:tcW w:type="dxa" w:w="3360"/>
          </w:tcPr>
          <w:p>
            <w:pPr>
              <w:spacing w:after="60"/>
            </w:pPr>
            <w:r>
              <w:rPr>
                <w:sz w:val="18"/>
              </w:rPr>
              <w:t>14 717,56 т фракции 70–120; 6,417 млн руб. без НДС</w:t>
            </w:r>
          </w:p>
        </w:tc>
        <w:tc>
          <w:tcPr>
            <w:tcW w:type="dxa" w:w="3360"/>
          </w:tcPr>
          <w:p>
            <w:pPr>
              <w:spacing w:after="60"/>
            </w:pPr>
            <w:r>
              <w:rPr>
                <w:sz w:val="18"/>
              </w:rPr>
              <w:t>Входит в итог Берников; не складывать повторно</w:t>
            </w:r>
          </w:p>
        </w:tc>
      </w:tr>
      <w:tr>
        <w:trPr>
          <w:cantSplit/>
        </w:trPr>
        <w:tc>
          <w:tcPr>
            <w:tcW w:type="dxa" w:w="3360"/>
          </w:tcPr>
          <w:p>
            <w:pPr>
              <w:spacing w:after="60"/>
            </w:pPr>
            <w:r>
              <w:rPr>
                <w:sz w:val="18"/>
              </w:rPr>
              <w:t>Пореченский, сентябрь 2020</w:t>
            </w:r>
          </w:p>
        </w:tc>
        <w:tc>
          <w:tcPr>
            <w:tcW w:type="dxa" w:w="3360"/>
          </w:tcPr>
          <w:p>
            <w:pPr>
              <w:spacing w:after="60"/>
            </w:pPr>
            <w:r>
              <w:rPr>
                <w:sz w:val="18"/>
              </w:rPr>
              <w:t>108 254 т; 43,019 млн руб. — составной план</w:t>
            </w:r>
          </w:p>
        </w:tc>
        <w:tc>
          <w:tcPr>
            <w:tcW w:type="dxa" w:w="3360"/>
          </w:tcPr>
          <w:p>
            <w:pPr>
              <w:spacing w:after="60"/>
            </w:pPr>
            <w:r>
              <w:rPr>
                <w:sz w:val="18"/>
              </w:rPr>
              <w:t>Не доказанная отгрузка и не прибыль</w:t>
            </w:r>
          </w:p>
        </w:tc>
      </w:tr>
      <w:tr>
        <w:trPr>
          <w:cantSplit/>
        </w:trPr>
        <w:tc>
          <w:tcPr>
            <w:tcW w:type="dxa" w:w="3360"/>
          </w:tcPr>
          <w:p>
            <w:pPr>
              <w:spacing w:after="60"/>
            </w:pPr>
            <w:r>
              <w:rPr>
                <w:sz w:val="18"/>
              </w:rPr>
              <w:t>Рождественский, сентябрь 2020</w:t>
            </w:r>
          </w:p>
        </w:tc>
        <w:tc>
          <w:tcPr>
            <w:tcW w:type="dxa" w:w="3360"/>
          </w:tcPr>
          <w:p>
            <w:pPr>
              <w:spacing w:after="60"/>
            </w:pPr>
            <w:r>
              <w:rPr>
                <w:sz w:val="18"/>
              </w:rPr>
              <w:t>106 000 т плана продаж</w:t>
            </w:r>
          </w:p>
        </w:tc>
        <w:tc>
          <w:tcPr>
            <w:tcW w:type="dxa" w:w="3360"/>
          </w:tcPr>
          <w:p>
            <w:pPr>
              <w:spacing w:after="60"/>
            </w:pPr>
            <w:r>
              <w:rPr>
                <w:sz w:val="18"/>
              </w:rPr>
              <w:t>В плане обнаружена разница складского баланса 1 000 т; сверить</w:t>
            </w:r>
          </w:p>
        </w:tc>
      </w:tr>
      <w:tr>
        <w:trPr>
          <w:cantSplit/>
        </w:trPr>
        <w:tc>
          <w:tcPr>
            <w:tcW w:type="dxa" w:w="3360"/>
          </w:tcPr>
          <w:p>
            <w:pPr>
              <w:spacing w:after="60"/>
            </w:pPr>
            <w:r>
              <w:rPr>
                <w:sz w:val="18"/>
              </w:rPr>
              <w:t>МГОК, сентябрь 2020</w:t>
            </w:r>
          </w:p>
        </w:tc>
        <w:tc>
          <w:tcPr>
            <w:tcW w:type="dxa" w:w="3360"/>
          </w:tcPr>
          <w:p>
            <w:pPr>
              <w:spacing w:after="60"/>
            </w:pPr>
            <w:r>
              <w:rPr>
                <w:sz w:val="18"/>
              </w:rPr>
              <w:t>Исторический дополнительный запрос 5 000 т</w:t>
            </w:r>
          </w:p>
        </w:tc>
        <w:tc>
          <w:tcPr>
            <w:tcW w:type="dxa" w:w="3360"/>
          </w:tcPr>
          <w:p>
            <w:pPr>
              <w:spacing w:after="60"/>
            </w:pPr>
            <w:r>
              <w:rPr>
                <w:sz w:val="18"/>
              </w:rPr>
              <w:t>Покупатель флюсового известняка, не местный конкурент</w:t>
            </w:r>
          </w:p>
        </w:tc>
      </w:tr>
    </w:tbl>
    <w:p>
      <w:r>
        <w:t>Полных производственно-финансовых бизнес-планов конкурентов не выявлено: имеются планы продаж, коммерческий бюджет, прайсы и первичные материалы. Разность доходов и расходов коммерческой службы Берников не является EBITDA или чистой прибылью всего карьера.</w:t>
      </w:r>
    </w:p>
    <w:p>
      <w:r>
        <w:t>По ранее принятому указанию заявки можно показывать как условные отгрузки, но в отчёте они отмечены отдельно от факта накладных. Они не становятся заказами на наш карьер и не подтверждают объёмы 2026 года.</w:t>
      </w:r>
    </w:p>
    <w:p>
      <w:r>
        <w:t>Практический вывод: ассортимент, стабильное качество, раздельные склады, доступность отгрузки и доставленная цена не менее важны, чем тоннаж ДСК. В июльском отчёте Берников 90,78% тоннажа имели условие предоплаты; это не банковское подтверждение, но и не основание считать весь рынок работающим с месячной отсрочкой.</w:t>
      </w:r>
    </w:p>
    <w:p>
      <w:r>
        <w:t>Текущие публичные страницы Берников на 12.10.2026: М600 5–20 — 1 170 руб./т; 20–40 — 1 230; 40–70 — 1 200; отсев 0–5 — 160; 0–10 — 320, с НДС. По части муки на двух страницах разные цены: 2 200 и 2 600 руб./т. Нужны письменные предложения. Нельзя оценивать весь влажный отсев по цене подготовленной муки.</w:t>
      </w:r>
    </w:p>
    <w:p>
      <w:r>
        <w:t>Ассортимент, текущие опубликованные цены, круглосуточная отгрузка — https://www.berniki.ru/</w:t>
      </w:r>
    </w:p>
    <w:p>
      <w:r>
        <w:t>Фракции и упаковка муки, автодоставка/жд, расхождение цен с главной — https://www.berniki.ru/izvestnyakovaya-muka/</w:t>
      </w:r>
    </w:p>
    <w:p>
      <w:r>
        <w:t>Заявленное соглашение о модернизации примерно на 1 млрд руб. — https://invest-tula.com/press-center/news/18487/</w:t>
      </w:r>
    </w:p>
    <w:p>
      <w:r>
        <w:t>АО Пореченский карьер и АО Рождественский карьер — наименования, ИНН, ОГРН — https://rostatus.ru/about/clients/emitents.pdf</w:t>
      </w:r>
    </w:p>
    <w:p>
      <w:r>
        <w:t>Комбинат в Железногорске, железорудная специализация — https://edu.metalloinvest.com/work</w:t>
      </w:r>
    </w:p>
    <w:p>
      <w:r>
        <w:br w:type="page"/>
      </w:r>
    </w:p>
    <w:p>
      <w:pPr>
        <w:pStyle w:val="Heading1"/>
      </w:pPr>
      <w:r>
        <w:t>7. Мука марки С: доказательства и продажи</w:t>
      </w:r>
    </w:p>
    <w:p>
      <w:r>
        <w:t>Развивать продажу известняковой муки марки С как отдельного продукта с паспортом партии и согласованным регламентом. ВК ХАРВЕСТЕРС — первый адресат для уточнения условий: он указан и в реестре договоров по отсеву, и заявителем регистрации муки. Утверждённого помесячного заказа на муку марки С в рассмотренных материалах нет.</w:t>
      </w:r>
    </w:p>
    <w:p>
      <w:r>
        <w:t>Мука марки С, обычный отсев и обожжённая известь не взаимозаменяемы. Протокол радиологии не подтверждает всё качество, регистрация не подтверждает сбыт. План ниже — управленческий сценарий замены части уже учтённых продаж отсева, а не дополнительная гарантированная выручка.</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EEEEE"/>
          </w:tcPr>
          <w:p>
            <w:pPr>
              <w:spacing w:after="60"/>
            </w:pPr>
            <w:r>
              <w:rPr>
                <w:b/>
                <w:sz w:val="18"/>
              </w:rPr>
              <w:t>Документ</w:t>
            </w:r>
          </w:p>
        </w:tc>
        <w:tc>
          <w:tcPr>
            <w:tcW w:type="dxa" w:w="3360"/>
            <w:shd w:fill="EEEEEE"/>
          </w:tcPr>
          <w:p>
            <w:pPr>
              <w:spacing w:after="60"/>
            </w:pPr>
            <w:r>
              <w:rPr>
                <w:b/>
                <w:sz w:val="18"/>
              </w:rPr>
              <w:t>Что подтверждает</w:t>
            </w:r>
          </w:p>
        </w:tc>
        <w:tc>
          <w:tcPr>
            <w:tcW w:type="dxa" w:w="3360"/>
            <w:shd w:fill="EEEEEE"/>
          </w:tcPr>
          <w:p>
            <w:pPr>
              <w:spacing w:after="60"/>
            </w:pPr>
            <w:r>
              <w:rPr>
                <w:b/>
                <w:sz w:val="18"/>
              </w:rPr>
              <w:t>Чего не подтверждает</w:t>
            </w:r>
          </w:p>
        </w:tc>
      </w:tr>
      <w:tr>
        <w:trPr>
          <w:cantSplit/>
        </w:trPr>
        <w:tc>
          <w:tcPr>
            <w:tcW w:type="dxa" w:w="3360"/>
          </w:tcPr>
          <w:p>
            <w:pPr>
              <w:spacing w:after="60"/>
            </w:pPr>
            <w:r>
              <w:rPr>
                <w:sz w:val="18"/>
              </w:rPr>
              <w:t>Регистрация 1 006-12-10013-1</w:t>
            </w:r>
          </w:p>
        </w:tc>
        <w:tc>
          <w:tcPr>
            <w:tcW w:type="dxa" w:w="3360"/>
          </w:tcPr>
          <w:p>
            <w:pPr>
              <w:spacing w:after="60"/>
            </w:pPr>
            <w:r>
              <w:rPr>
                <w:sz w:val="18"/>
              </w:rPr>
              <w:t>Выписка: 15.06.2026–14.06.2036, заявитель ВК ХАРВЕСТЕРС</w:t>
            </w:r>
          </w:p>
        </w:tc>
        <w:tc>
          <w:tcPr>
            <w:tcW w:type="dxa" w:w="3360"/>
          </w:tcPr>
          <w:p>
            <w:pPr>
              <w:spacing w:after="60"/>
            </w:pPr>
            <w:r>
              <w:rPr>
                <w:sz w:val="18"/>
              </w:rPr>
              <w:t>Не заменяет проверку актуальной записи, прав реализации и паспорта партии</w:t>
            </w:r>
          </w:p>
        </w:tc>
      </w:tr>
      <w:tr>
        <w:trPr>
          <w:cantSplit/>
        </w:trPr>
        <w:tc>
          <w:tcPr>
            <w:tcW w:type="dxa" w:w="3360"/>
          </w:tcPr>
          <w:p>
            <w:pPr>
              <w:spacing w:after="60"/>
            </w:pPr>
            <w:r>
              <w:rPr>
                <w:sz w:val="18"/>
              </w:rPr>
              <w:t>Экспертиза №19/888, 09.06.2026</w:t>
            </w:r>
          </w:p>
        </w:tc>
        <w:tc>
          <w:tcPr>
            <w:tcW w:type="dxa" w:w="3360"/>
          </w:tcPr>
          <w:p>
            <w:pPr>
              <w:spacing w:after="60"/>
            </w:pPr>
            <w:r>
              <w:rPr>
                <w:sz w:val="18"/>
              </w:rPr>
              <w:t>В числе изготовителей указан Агротехпром и площадка 40:22:183501:60</w:t>
            </w:r>
          </w:p>
        </w:tc>
        <w:tc>
          <w:tcPr>
            <w:tcW w:type="dxa" w:w="3360"/>
          </w:tcPr>
          <w:p>
            <w:pPr>
              <w:spacing w:after="60"/>
            </w:pPr>
            <w:r>
              <w:rPr>
                <w:sz w:val="18"/>
              </w:rPr>
              <w:t>Не доказывает договорной объём сбыта</w:t>
            </w:r>
          </w:p>
        </w:tc>
      </w:tr>
      <w:tr>
        <w:trPr>
          <w:cantSplit/>
        </w:trPr>
        <w:tc>
          <w:tcPr>
            <w:tcW w:type="dxa" w:w="3360"/>
          </w:tcPr>
          <w:p>
            <w:pPr>
              <w:spacing w:after="60"/>
            </w:pPr>
            <w:r>
              <w:rPr>
                <w:sz w:val="18"/>
              </w:rPr>
              <w:t>Экспертиза №19/887, 09.06.2026</w:t>
            </w:r>
          </w:p>
        </w:tc>
        <w:tc>
          <w:tcPr>
            <w:tcW w:type="dxa" w:w="3360"/>
          </w:tcPr>
          <w:p>
            <w:pPr>
              <w:spacing w:after="60"/>
            </w:pPr>
            <w:r>
              <w:rPr>
                <w:sz w:val="18"/>
              </w:rPr>
              <w:t>Регламент применения агрохимиката</w:t>
            </w:r>
          </w:p>
        </w:tc>
        <w:tc>
          <w:tcPr>
            <w:tcW w:type="dxa" w:w="3360"/>
          </w:tcPr>
          <w:p>
            <w:pPr>
              <w:spacing w:after="60"/>
            </w:pPr>
            <w:r>
              <w:rPr>
                <w:sz w:val="18"/>
              </w:rPr>
              <w:t>Не разрешение на строительство известкового завода</w:t>
            </w:r>
          </w:p>
        </w:tc>
      </w:tr>
      <w:tr>
        <w:trPr>
          <w:cantSplit/>
        </w:trPr>
        <w:tc>
          <w:tcPr>
            <w:tcW w:type="dxa" w:w="3360"/>
          </w:tcPr>
          <w:p>
            <w:pPr>
              <w:spacing w:after="60"/>
            </w:pPr>
            <w:r>
              <w:rPr>
                <w:sz w:val="18"/>
              </w:rPr>
              <w:t>Радиология №308, 11.04.2025</w:t>
            </w:r>
          </w:p>
        </w:tc>
        <w:tc>
          <w:tcPr>
            <w:tcW w:type="dxa" w:w="3360"/>
          </w:tcPr>
          <w:p>
            <w:pPr>
              <w:spacing w:after="60"/>
            </w:pPr>
            <w:r>
              <w:rPr>
                <w:sz w:val="18"/>
              </w:rPr>
              <w:t>Показатели одной пробы муки</w:t>
            </w:r>
          </w:p>
        </w:tc>
        <w:tc>
          <w:tcPr>
            <w:tcW w:type="dxa" w:w="3360"/>
          </w:tcPr>
          <w:p>
            <w:pPr>
              <w:spacing w:after="60"/>
            </w:pPr>
            <w:r>
              <w:rPr>
                <w:sz w:val="18"/>
              </w:rPr>
              <w:t>Не химия, гранулометрия и полное соответствие марки С</w:t>
            </w:r>
          </w:p>
        </w:tc>
      </w:tr>
      <w:tr>
        <w:trPr>
          <w:cantSplit/>
        </w:trPr>
        <w:tc>
          <w:tcPr>
            <w:tcW w:type="dxa" w:w="3360"/>
          </w:tcPr>
          <w:p>
            <w:pPr>
              <w:spacing w:after="60"/>
            </w:pPr>
            <w:r>
              <w:rPr>
                <w:sz w:val="18"/>
              </w:rPr>
              <w:t>Реестр договоров, строка 17</w:t>
            </w:r>
          </w:p>
        </w:tc>
        <w:tc>
          <w:tcPr>
            <w:tcW w:type="dxa" w:w="3360"/>
          </w:tcPr>
          <w:p>
            <w:pPr>
              <w:spacing w:after="60"/>
            </w:pPr>
            <w:r>
              <w:rPr>
                <w:sz w:val="18"/>
              </w:rPr>
              <w:t>ВК ХАРВЕСТЕРС, №1/6 от 03.06.2025, отсев 150 руб./т</w:t>
            </w:r>
          </w:p>
        </w:tc>
        <w:tc>
          <w:tcPr>
            <w:tcW w:type="dxa" w:w="3360"/>
          </w:tcPr>
          <w:p>
            <w:pPr>
              <w:spacing w:after="60"/>
            </w:pPr>
            <w:r>
              <w:rPr>
                <w:sz w:val="18"/>
              </w:rPr>
              <w:t>Годовой объём не указан; это не текущая цена и не заказ на марку С</w:t>
            </w:r>
          </w:p>
        </w:tc>
      </w:tr>
    </w:tbl>
    <w:p>
      <w:pPr>
        <w:pStyle w:val="ListBullet"/>
      </w:pPr>
      <w:r>
        <w:t>ООО ВК ХАРВЕСТЕРС: Исторический договорный канал и заявитель регистрации. В реестре 2025 есть договор №1/6 от  03.06.2025 на отсев; текущие цены, право реализации марки С и тоннаж нужно подтвердить. Объём не установлен.</w:t>
      </w:r>
    </w:p>
    <w:p>
      <w:pPr>
        <w:pStyle w:val="ListBullet"/>
      </w:pPr>
      <w:r>
        <w:t>Эко-Нива: Заявление о годовом сбыте отсева в справке. Не действующий заказ на муку марки С; юридическое лицо, спецификация, сезонный график и пересечение с посредником не установлены.</w:t>
      </w:r>
    </w:p>
    <w:p>
      <w:pPr>
        <w:pStyle w:val="ListBullet"/>
      </w:pPr>
      <w:r>
        <w:t>Мираторг: Потенциальный канал со слов директора. Тоннаж, закупающее юрлицо, цена и спецификация не подтверждены. В финансовую модель как заказ не включён.</w:t>
      </w:r>
    </w:p>
    <w:p>
      <w:pPr>
        <w:pStyle w:val="ListBullet"/>
      </w:pPr>
      <w:r>
        <w:t>Черкизово: Потенциальный канал со слов директора. Тоннаж, закупающее юрлицо, цена и спецификация не подтверждены. Не суммировать без проверки пересечений.</w:t>
      </w:r>
    </w:p>
    <w:p>
      <w:r>
        <w:t>До коммерческого выпуска: проверить договор с регистрантом, технологию подготовки, актуальные испытания химии/влажности/крупности, маркировку, паспорт партии и порядок входного контроля покупателя. Бытовое название «доломитовая» не заменяет точного зарегистрированного наименования продукта.</w:t>
      </w:r>
    </w:p>
    <w:p>
      <w:r>
        <w:br w:type="page"/>
      </w:r>
    </w:p>
    <w:p>
      <w:pPr>
        <w:pStyle w:val="Heading1"/>
      </w:pPr>
      <w:r>
        <w:t>8. Условный план муки и контроль денег</w:t>
      </w:r>
    </w:p>
    <w:tbl>
      <w:tblPr>
        <w:tblStyle w:val="TableGrid"/>
        <w:tblW w:type="auto" w:w="0"/>
        <w:tblLook w:firstColumn="1" w:firstRow="1" w:lastColumn="0" w:lastRow="0" w:noHBand="0" w:noVBand="1" w:val="04A0"/>
      </w:tblPr>
      <w:tblGrid>
        <w:gridCol w:w="2016"/>
        <w:gridCol w:w="2016"/>
        <w:gridCol w:w="2016"/>
        <w:gridCol w:w="2016"/>
        <w:gridCol w:w="2016"/>
      </w:tblGrid>
      <w:tr>
        <w:trPr>
          <w:tblHeader/>
          <w:cantSplit/>
        </w:trPr>
        <w:tc>
          <w:tcPr>
            <w:tcW w:type="dxa" w:w="2016"/>
            <w:shd w:fill="EEEEEE"/>
          </w:tcPr>
          <w:p>
            <w:pPr>
              <w:spacing w:after="60"/>
            </w:pPr>
            <w:r>
              <w:rPr>
                <w:b/>
                <w:sz w:val="18"/>
              </w:rPr>
              <w:t>Месяц</w:t>
            </w:r>
          </w:p>
        </w:tc>
        <w:tc>
          <w:tcPr>
            <w:tcW w:type="dxa" w:w="2016"/>
            <w:shd w:fill="EEEEEE"/>
          </w:tcPr>
          <w:p>
            <w:pPr>
              <w:spacing w:after="60"/>
            </w:pPr>
            <w:r>
              <w:rPr>
                <w:b/>
                <w:sz w:val="18"/>
              </w:rPr>
              <w:t>Подготовить, т</w:t>
            </w:r>
          </w:p>
        </w:tc>
        <w:tc>
          <w:tcPr>
            <w:tcW w:type="dxa" w:w="2016"/>
            <w:shd w:fill="EEEEEE"/>
          </w:tcPr>
          <w:p>
            <w:pPr>
              <w:spacing w:after="60"/>
            </w:pPr>
            <w:r>
              <w:rPr>
                <w:b/>
                <w:sz w:val="18"/>
              </w:rPr>
              <w:t>Продать, т</w:t>
            </w:r>
          </w:p>
        </w:tc>
        <w:tc>
          <w:tcPr>
            <w:tcW w:type="dxa" w:w="2016"/>
            <w:shd w:fill="EEEEEE"/>
          </w:tcPr>
          <w:p>
            <w:pPr>
              <w:spacing w:after="60"/>
            </w:pPr>
            <w:r>
              <w:rPr>
                <w:b/>
                <w:sz w:val="18"/>
              </w:rPr>
              <w:t>Остаток, т</w:t>
            </w:r>
          </w:p>
        </w:tc>
        <w:tc>
          <w:tcPr>
            <w:tcW w:type="dxa" w:w="2016"/>
            <w:shd w:fill="EEEEEE"/>
          </w:tcPr>
          <w:p>
            <w:pPr>
              <w:spacing w:after="60"/>
            </w:pPr>
            <w:r>
              <w:rPr>
                <w:b/>
                <w:sz w:val="18"/>
              </w:rPr>
              <w:t>Условие</w:t>
            </w:r>
          </w:p>
        </w:tc>
      </w:tr>
      <w:tr>
        <w:trPr>
          <w:cantSplit/>
        </w:trPr>
        <w:tc>
          <w:tcPr>
            <w:tcW w:type="dxa" w:w="2016"/>
          </w:tcPr>
          <w:p>
            <w:pPr>
              <w:spacing w:after="60"/>
            </w:pPr>
            <w:r>
              <w:rPr>
                <w:sz w:val="18"/>
              </w:rPr>
              <w:t>М1</w:t>
            </w:r>
          </w:p>
        </w:tc>
        <w:tc>
          <w:tcPr>
            <w:tcW w:type="dxa" w:w="2016"/>
          </w:tcPr>
          <w:p>
            <w:pPr>
              <w:spacing w:after="60"/>
            </w:pPr>
            <w:r>
              <w:rPr>
                <w:sz w:val="18"/>
              </w:rPr>
              <w:t>0</w:t>
            </w:r>
          </w:p>
        </w:tc>
        <w:tc>
          <w:tcPr>
            <w:tcW w:type="dxa" w:w="2016"/>
          </w:tcPr>
          <w:p>
            <w:pPr>
              <w:spacing w:after="60"/>
            </w:pPr>
            <w:r>
              <w:rPr>
                <w:sz w:val="18"/>
              </w:rPr>
              <w:t>0</w:t>
            </w:r>
          </w:p>
        </w:tc>
        <w:tc>
          <w:tcPr>
            <w:tcW w:type="dxa" w:w="2016"/>
          </w:tcPr>
          <w:p>
            <w:pPr>
              <w:spacing w:after="60"/>
            </w:pPr>
            <w:r>
              <w:rPr>
                <w:sz w:val="18"/>
              </w:rPr>
              <w:t>0</w:t>
            </w:r>
          </w:p>
        </w:tc>
        <w:tc>
          <w:tcPr>
            <w:tcW w:type="dxa" w:w="2016"/>
          </w:tcPr>
          <w:p>
            <w:pPr>
              <w:spacing w:after="60"/>
            </w:pPr>
            <w:r>
              <w:rPr>
                <w:sz w:val="18"/>
              </w:rPr>
              <w:t>Пробы, права, спецификация</w:t>
            </w:r>
          </w:p>
        </w:tc>
      </w:tr>
      <w:tr>
        <w:trPr>
          <w:cantSplit/>
        </w:trPr>
        <w:tc>
          <w:tcPr>
            <w:tcW w:type="dxa" w:w="2016"/>
          </w:tcPr>
          <w:p>
            <w:pPr>
              <w:spacing w:after="60"/>
            </w:pPr>
            <w:r>
              <w:rPr>
                <w:sz w:val="18"/>
              </w:rPr>
              <w:t>М2</w:t>
            </w:r>
          </w:p>
        </w:tc>
        <w:tc>
          <w:tcPr>
            <w:tcW w:type="dxa" w:w="2016"/>
          </w:tcPr>
          <w:p>
            <w:pPr>
              <w:spacing w:after="60"/>
            </w:pPr>
            <w:r>
              <w:rPr>
                <w:sz w:val="18"/>
              </w:rPr>
              <w:t>200</w:t>
            </w:r>
          </w:p>
        </w:tc>
        <w:tc>
          <w:tcPr>
            <w:tcW w:type="dxa" w:w="2016"/>
          </w:tcPr>
          <w:p>
            <w:pPr>
              <w:spacing w:after="60"/>
            </w:pPr>
            <w:r>
              <w:rPr>
                <w:sz w:val="18"/>
              </w:rPr>
              <w:t>100</w:t>
            </w:r>
          </w:p>
        </w:tc>
        <w:tc>
          <w:tcPr>
            <w:tcW w:type="dxa" w:w="2016"/>
          </w:tcPr>
          <w:p>
            <w:pPr>
              <w:spacing w:after="60"/>
            </w:pPr>
            <w:r>
              <w:rPr>
                <w:sz w:val="18"/>
              </w:rPr>
              <w:t>100</w:t>
            </w:r>
          </w:p>
        </w:tc>
        <w:tc>
          <w:tcPr>
            <w:tcW w:type="dxa" w:w="2016"/>
          </w:tcPr>
          <w:p>
            <w:pPr>
              <w:spacing w:after="60"/>
            </w:pPr>
            <w:r>
              <w:rPr>
                <w:sz w:val="18"/>
              </w:rPr>
              <w:t>Согласованная пробная партия</w:t>
            </w:r>
          </w:p>
        </w:tc>
      </w:tr>
      <w:tr>
        <w:trPr>
          <w:cantSplit/>
        </w:trPr>
        <w:tc>
          <w:tcPr>
            <w:tcW w:type="dxa" w:w="2016"/>
          </w:tcPr>
          <w:p>
            <w:pPr>
              <w:spacing w:after="60"/>
            </w:pPr>
            <w:r>
              <w:rPr>
                <w:sz w:val="18"/>
              </w:rPr>
              <w:t>М3</w:t>
            </w:r>
          </w:p>
        </w:tc>
        <w:tc>
          <w:tcPr>
            <w:tcW w:type="dxa" w:w="2016"/>
          </w:tcPr>
          <w:p>
            <w:pPr>
              <w:spacing w:after="60"/>
            </w:pPr>
            <w:r>
              <w:rPr>
                <w:sz w:val="18"/>
              </w:rPr>
              <w:t>600</w:t>
            </w:r>
          </w:p>
        </w:tc>
        <w:tc>
          <w:tcPr>
            <w:tcW w:type="dxa" w:w="2016"/>
          </w:tcPr>
          <w:p>
            <w:pPr>
              <w:spacing w:after="60"/>
            </w:pPr>
            <w:r>
              <w:rPr>
                <w:sz w:val="18"/>
              </w:rPr>
              <w:t>500</w:t>
            </w:r>
          </w:p>
        </w:tc>
        <w:tc>
          <w:tcPr>
            <w:tcW w:type="dxa" w:w="2016"/>
          </w:tcPr>
          <w:p>
            <w:pPr>
              <w:spacing w:after="60"/>
            </w:pPr>
            <w:r>
              <w:rPr>
                <w:sz w:val="18"/>
              </w:rPr>
              <w:t>200</w:t>
            </w:r>
          </w:p>
        </w:tc>
        <w:tc>
          <w:tcPr>
            <w:tcW w:type="dxa" w:w="2016"/>
          </w:tcPr>
          <w:p>
            <w:pPr>
              <w:spacing w:after="60"/>
            </w:pPr>
            <w:r>
              <w:rPr>
                <w:sz w:val="18"/>
              </w:rPr>
              <w:t>Повторный заказ после допуска</w:t>
            </w:r>
          </w:p>
        </w:tc>
      </w:tr>
      <w:tr>
        <w:trPr>
          <w:cantSplit/>
        </w:trPr>
        <w:tc>
          <w:tcPr>
            <w:tcW w:type="dxa" w:w="2016"/>
          </w:tcPr>
          <w:p>
            <w:pPr>
              <w:spacing w:after="60"/>
            </w:pPr>
            <w:r>
              <w:rPr>
                <w:sz w:val="18"/>
              </w:rPr>
              <w:t>М4</w:t>
            </w:r>
          </w:p>
        </w:tc>
        <w:tc>
          <w:tcPr>
            <w:tcW w:type="dxa" w:w="2016"/>
          </w:tcPr>
          <w:p>
            <w:pPr>
              <w:spacing w:after="60"/>
            </w:pPr>
            <w:r>
              <w:rPr>
                <w:sz w:val="18"/>
              </w:rPr>
              <w:t>1500</w:t>
            </w:r>
          </w:p>
        </w:tc>
        <w:tc>
          <w:tcPr>
            <w:tcW w:type="dxa" w:w="2016"/>
          </w:tcPr>
          <w:p>
            <w:pPr>
              <w:spacing w:after="60"/>
            </w:pPr>
            <w:r>
              <w:rPr>
                <w:sz w:val="18"/>
              </w:rPr>
              <w:t>1200</w:t>
            </w:r>
          </w:p>
        </w:tc>
        <w:tc>
          <w:tcPr>
            <w:tcW w:type="dxa" w:w="2016"/>
          </w:tcPr>
          <w:p>
            <w:pPr>
              <w:spacing w:after="60"/>
            </w:pPr>
            <w:r>
              <w:rPr>
                <w:sz w:val="18"/>
              </w:rPr>
              <w:t>500</w:t>
            </w:r>
          </w:p>
        </w:tc>
        <w:tc>
          <w:tcPr>
            <w:tcW w:type="dxa" w:w="2016"/>
          </w:tcPr>
          <w:p>
            <w:pPr>
              <w:spacing w:after="60"/>
            </w:pPr>
            <w:r>
              <w:rPr>
                <w:sz w:val="18"/>
              </w:rPr>
              <w:t>Месячная заявка и сезон</w:t>
            </w:r>
          </w:p>
        </w:tc>
      </w:tr>
      <w:tr>
        <w:trPr>
          <w:cantSplit/>
        </w:trPr>
        <w:tc>
          <w:tcPr>
            <w:tcW w:type="dxa" w:w="2016"/>
          </w:tcPr>
          <w:p>
            <w:pPr>
              <w:spacing w:after="60"/>
            </w:pPr>
            <w:r>
              <w:rPr>
                <w:sz w:val="18"/>
              </w:rPr>
              <w:t>М5</w:t>
            </w:r>
          </w:p>
        </w:tc>
        <w:tc>
          <w:tcPr>
            <w:tcW w:type="dxa" w:w="2016"/>
          </w:tcPr>
          <w:p>
            <w:pPr>
              <w:spacing w:after="60"/>
            </w:pPr>
            <w:r>
              <w:rPr>
                <w:sz w:val="18"/>
              </w:rPr>
              <w:t>3000</w:t>
            </w:r>
          </w:p>
        </w:tc>
        <w:tc>
          <w:tcPr>
            <w:tcW w:type="dxa" w:w="2016"/>
          </w:tcPr>
          <w:p>
            <w:pPr>
              <w:spacing w:after="60"/>
            </w:pPr>
            <w:r>
              <w:rPr>
                <w:sz w:val="18"/>
              </w:rPr>
              <w:t>2500</w:t>
            </w:r>
          </w:p>
        </w:tc>
        <w:tc>
          <w:tcPr>
            <w:tcW w:type="dxa" w:w="2016"/>
          </w:tcPr>
          <w:p>
            <w:pPr>
              <w:spacing w:after="60"/>
            </w:pPr>
            <w:r>
              <w:rPr>
                <w:sz w:val="18"/>
              </w:rPr>
              <w:t>1000</w:t>
            </w:r>
          </w:p>
        </w:tc>
        <w:tc>
          <w:tcPr>
            <w:tcW w:type="dxa" w:w="2016"/>
          </w:tcPr>
          <w:p>
            <w:pPr>
              <w:spacing w:after="60"/>
            </w:pPr>
            <w:r>
              <w:rPr>
                <w:sz w:val="18"/>
              </w:rPr>
              <w:t>Подтверждены приёмка и оплата</w:t>
            </w:r>
          </w:p>
        </w:tc>
      </w:tr>
      <w:tr>
        <w:trPr>
          <w:cantSplit/>
        </w:trPr>
        <w:tc>
          <w:tcPr>
            <w:tcW w:type="dxa" w:w="2016"/>
          </w:tcPr>
          <w:p>
            <w:pPr>
              <w:spacing w:after="60"/>
            </w:pPr>
            <w:r>
              <w:rPr>
                <w:sz w:val="18"/>
              </w:rPr>
              <w:t>М6</w:t>
            </w:r>
          </w:p>
        </w:tc>
        <w:tc>
          <w:tcPr>
            <w:tcW w:type="dxa" w:w="2016"/>
          </w:tcPr>
          <w:p>
            <w:pPr>
              <w:spacing w:after="60"/>
            </w:pPr>
            <w:r>
              <w:rPr>
                <w:sz w:val="18"/>
              </w:rPr>
              <w:t>5000</w:t>
            </w:r>
          </w:p>
        </w:tc>
        <w:tc>
          <w:tcPr>
            <w:tcW w:type="dxa" w:w="2016"/>
          </w:tcPr>
          <w:p>
            <w:pPr>
              <w:spacing w:after="60"/>
            </w:pPr>
            <w:r>
              <w:rPr>
                <w:sz w:val="18"/>
              </w:rPr>
              <w:t>4500</w:t>
            </w:r>
          </w:p>
        </w:tc>
        <w:tc>
          <w:tcPr>
            <w:tcW w:type="dxa" w:w="2016"/>
          </w:tcPr>
          <w:p>
            <w:pPr>
              <w:spacing w:after="60"/>
            </w:pPr>
            <w:r>
              <w:rPr>
                <w:sz w:val="18"/>
              </w:rPr>
              <w:t>1500</w:t>
            </w:r>
          </w:p>
        </w:tc>
        <w:tc>
          <w:tcPr>
            <w:tcW w:type="dxa" w:w="2016"/>
          </w:tcPr>
          <w:p>
            <w:pPr>
              <w:spacing w:after="60"/>
            </w:pPr>
            <w:r>
              <w:rPr>
                <w:sz w:val="18"/>
              </w:rPr>
              <w:t>Есть мощность, спрос и склад</w:t>
            </w:r>
          </w:p>
        </w:tc>
      </w:tr>
    </w:tbl>
    <w:p>
      <w:r>
        <w:t>Все объёмы — предлагаемый управленческий сценарий, а не подписанные заявки. Итого за шесть месяцев: подготовка 10 300 т, продажи 8 800 т, склад 1 500 т. При отсутствии допуска или заказов увеличение объёмов останавливается.</w:t>
      </w:r>
    </w:p>
    <w:p>
      <w:r>
        <w:t>В М6 4 500 т продаж муки предполагается заменить ими часть 10 000 т продаж отсева, уже включённых в основную модель. Нельзя добавлять 4 500 т к 10 000 т без проверки материального баланса. При выходе 80% на выпуск 5 000 т требуется 6 250 т сырья; 1 250 т — иной выход/потери, которые должны быть определены испытаниями.</w:t>
      </w:r>
    </w:p>
    <w:p>
      <w:r>
        <w:t>При замене 4 500 т отсева по 300 руб./т изменение выручки с НДС = 4 500 × (цена муки на той же основе − 300). Это не прибыль: вычитаются подготовка, упаковка, доставка, дополнительное содержание и финансирование. Цена муки пока не подтверждена.</w:t>
      </w:r>
    </w:p>
    <w:p>
      <w:r>
        <w:t>Отдельный калькулятор в программе показывает выпуск, продажи, остаток и оборотный капитал. Денежный расчёт блокируется до ввода положительной цены и себестоимости. Маржинальный доход не назван EBITDA; капвложения, постоянные расходы и налоги требуют полной модели.</w:t>
      </w:r>
    </w:p>
    <w:p>
      <w:pPr>
        <w:pStyle w:val="ListBullet"/>
      </w:pPr>
      <w:r>
        <w:t>Из годового интереса Эко-Нивы к отсеву нельзя автоматически получить равномерный зимний заказ на муку.</w:t>
      </w:r>
    </w:p>
    <w:p>
      <w:pPr>
        <w:pStyle w:val="ListBullet"/>
      </w:pPr>
      <w:r>
        <w:t>Один и тот же конечный покупатель не учитывается повторно через посредника и напрямую.</w:t>
      </w:r>
    </w:p>
    <w:p>
      <w:pPr>
        <w:pStyle w:val="ListBullet"/>
      </w:pPr>
      <w:r>
        <w:t>План выпуска подстраивается под подтверждённую приёмку; склад не должен поглощать деньги на зарплату, налоги и ремонт.</w:t>
      </w:r>
    </w:p>
    <w:p>
      <w:r>
        <w:br w:type="page"/>
      </w:r>
    </w:p>
    <w:p>
      <w:pPr>
        <w:pStyle w:val="Heading1"/>
      </w:pPr>
      <w:r>
        <w:t>9. Документы: что подтверждено и что проверить</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EEEEE"/>
          </w:tcPr>
          <w:p>
            <w:pPr>
              <w:spacing w:after="60"/>
            </w:pPr>
            <w:r>
              <w:rPr>
                <w:b/>
                <w:sz w:val="18"/>
              </w:rPr>
              <w:t>Блок</w:t>
            </w:r>
          </w:p>
        </w:tc>
        <w:tc>
          <w:tcPr>
            <w:tcW w:type="dxa" w:w="3360"/>
            <w:shd w:fill="EEEEEE"/>
          </w:tcPr>
          <w:p>
            <w:pPr>
              <w:spacing w:after="60"/>
            </w:pPr>
            <w:r>
              <w:rPr>
                <w:b/>
                <w:sz w:val="18"/>
              </w:rPr>
              <w:t>Подтверждение в папке</w:t>
            </w:r>
          </w:p>
        </w:tc>
        <w:tc>
          <w:tcPr>
            <w:tcW w:type="dxa" w:w="3360"/>
            <w:shd w:fill="EEEEEE"/>
          </w:tcPr>
          <w:p>
            <w:pPr>
              <w:spacing w:after="60"/>
            </w:pPr>
            <w:r>
              <w:rPr>
                <w:b/>
                <w:sz w:val="18"/>
              </w:rPr>
              <w:t>Следующий шаг</w:t>
            </w:r>
          </w:p>
        </w:tc>
      </w:tr>
      <w:tr>
        <w:trPr>
          <w:cantSplit/>
        </w:trPr>
        <w:tc>
          <w:tcPr>
            <w:tcW w:type="dxa" w:w="3360"/>
          </w:tcPr>
          <w:p>
            <w:pPr>
              <w:spacing w:after="60"/>
            </w:pPr>
            <w:r>
              <w:rPr>
                <w:sz w:val="18"/>
              </w:rPr>
              <w:t>Лицензия</w:t>
            </w:r>
          </w:p>
        </w:tc>
        <w:tc>
          <w:tcPr>
            <w:tcW w:type="dxa" w:w="3360"/>
          </w:tcPr>
          <w:p>
            <w:pPr>
              <w:spacing w:after="60"/>
            </w:pPr>
            <w:r>
              <w:rPr>
                <w:sz w:val="18"/>
              </w:rPr>
              <w:t>КЛЖ 80065 ТЭ, в копии срок до 01.01.2029</w:t>
            </w:r>
          </w:p>
        </w:tc>
        <w:tc>
          <w:tcPr>
            <w:tcW w:type="dxa" w:w="3360"/>
          </w:tcPr>
          <w:p>
            <w:pPr>
              <w:spacing w:after="60"/>
            </w:pPr>
            <w:r>
              <w:rPr>
                <w:sz w:val="18"/>
              </w:rPr>
              <w:t>Проверить текущую запись и ограничения</w:t>
            </w:r>
          </w:p>
        </w:tc>
      </w:tr>
      <w:tr>
        <w:trPr>
          <w:cantSplit/>
        </w:trPr>
        <w:tc>
          <w:tcPr>
            <w:tcW w:type="dxa" w:w="3360"/>
          </w:tcPr>
          <w:p>
            <w:pPr>
              <w:spacing w:after="60"/>
            </w:pPr>
            <w:r>
              <w:rPr>
                <w:sz w:val="18"/>
              </w:rPr>
              <w:t>Горные работы</w:t>
            </w:r>
          </w:p>
        </w:tc>
        <w:tc>
          <w:tcPr>
            <w:tcW w:type="dxa" w:w="3360"/>
          </w:tcPr>
          <w:p>
            <w:pPr>
              <w:spacing w:after="60"/>
            </w:pPr>
            <w:r>
              <w:rPr>
                <w:sz w:val="18"/>
              </w:rPr>
              <w:t>Горный отвод, проекты, протокол 2025, заявление на ПРГР 2026</w:t>
            </w:r>
          </w:p>
        </w:tc>
        <w:tc>
          <w:tcPr>
            <w:tcW w:type="dxa" w:w="3360"/>
          </w:tcPr>
          <w:p>
            <w:pPr>
              <w:spacing w:after="60"/>
            </w:pPr>
            <w:r>
              <w:rPr>
                <w:sz w:val="18"/>
              </w:rPr>
              <w:t>Не считать заявление согласованием; подтвердить действующий план и объёмы</w:t>
            </w:r>
          </w:p>
        </w:tc>
      </w:tr>
      <w:tr>
        <w:trPr>
          <w:cantSplit/>
        </w:trPr>
        <w:tc>
          <w:tcPr>
            <w:tcW w:type="dxa" w:w="3360"/>
          </w:tcPr>
          <w:p>
            <w:pPr>
              <w:spacing w:after="60"/>
            </w:pPr>
            <w:r>
              <w:rPr>
                <w:sz w:val="18"/>
              </w:rPr>
              <w:t>Глина</w:t>
            </w:r>
          </w:p>
        </w:tc>
        <w:tc>
          <w:tcPr>
            <w:tcW w:type="dxa" w:w="3360"/>
          </w:tcPr>
          <w:p>
            <w:pPr>
              <w:spacing w:after="60"/>
            </w:pPr>
            <w:r>
              <w:rPr>
                <w:sz w:val="18"/>
              </w:rPr>
              <w:t>Протокол 196/2014 подтверждает III слой для керамзита; сертификат 13.07.2026–12.07.2029</w:t>
            </w:r>
          </w:p>
        </w:tc>
        <w:tc>
          <w:tcPr>
            <w:tcW w:type="dxa" w:w="3360"/>
          </w:tcPr>
          <w:p>
            <w:pPr>
              <w:spacing w:after="60"/>
            </w:pPr>
            <w:r>
              <w:rPr>
                <w:sz w:val="18"/>
              </w:rPr>
              <w:t>Паспорта текущих партий и соблюдение технологии</w:t>
            </w:r>
          </w:p>
        </w:tc>
      </w:tr>
      <w:tr>
        <w:trPr>
          <w:cantSplit/>
        </w:trPr>
        <w:tc>
          <w:tcPr>
            <w:tcW w:type="dxa" w:w="3360"/>
          </w:tcPr>
          <w:p>
            <w:pPr>
              <w:spacing w:after="60"/>
            </w:pPr>
            <w:r>
              <w:rPr>
                <w:sz w:val="18"/>
              </w:rPr>
              <w:t>Щебень</w:t>
            </w:r>
          </w:p>
        </w:tc>
        <w:tc>
          <w:tcPr>
            <w:tcW w:type="dxa" w:w="3360"/>
          </w:tcPr>
          <w:p>
            <w:pPr>
              <w:spacing w:after="60"/>
            </w:pPr>
            <w:r>
              <w:rPr>
                <w:sz w:val="18"/>
              </w:rPr>
              <w:t>Майские протоколы 2025 положительные: 5–20 М800, другие М600</w:t>
            </w:r>
          </w:p>
        </w:tc>
        <w:tc>
          <w:tcPr>
            <w:tcW w:type="dxa" w:w="3360"/>
          </w:tcPr>
          <w:p>
            <w:pPr>
              <w:spacing w:after="60"/>
            </w:pPr>
            <w:r>
              <w:rPr>
                <w:sz w:val="18"/>
              </w:rPr>
              <w:t>Февральские протоколы содержали проблемы зернового состава; нужен производственный контроль</w:t>
            </w:r>
          </w:p>
        </w:tc>
      </w:tr>
      <w:tr>
        <w:trPr>
          <w:cantSplit/>
        </w:trPr>
        <w:tc>
          <w:tcPr>
            <w:tcW w:type="dxa" w:w="3360"/>
          </w:tcPr>
          <w:p>
            <w:pPr>
              <w:spacing w:after="60"/>
            </w:pPr>
            <w:r>
              <w:rPr>
                <w:sz w:val="18"/>
              </w:rPr>
              <w:t>Газ</w:t>
            </w:r>
          </w:p>
        </w:tc>
        <w:tc>
          <w:tcPr>
            <w:tcW w:type="dxa" w:w="3360"/>
          </w:tcPr>
          <w:p>
            <w:pPr>
              <w:spacing w:after="60"/>
            </w:pPr>
            <w:r>
              <w:rPr>
                <w:sz w:val="18"/>
              </w:rPr>
              <w:t>Два отвода DN100 для перспективного подключения Агротехпрома</w:t>
            </w:r>
          </w:p>
        </w:tc>
        <w:tc>
          <w:tcPr>
            <w:tcW w:type="dxa" w:w="3360"/>
          </w:tcPr>
          <w:p>
            <w:pPr>
              <w:spacing w:after="60"/>
            </w:pPr>
            <w:r>
              <w:rPr>
                <w:sz w:val="18"/>
              </w:rPr>
              <w:t>Получить расход, давление, ТУ, сроки и цену подключения печи</w:t>
            </w:r>
          </w:p>
        </w:tc>
      </w:tr>
      <w:tr>
        <w:trPr>
          <w:cantSplit/>
        </w:trPr>
        <w:tc>
          <w:tcPr>
            <w:tcW w:type="dxa" w:w="3360"/>
          </w:tcPr>
          <w:p>
            <w:pPr>
              <w:spacing w:after="60"/>
            </w:pPr>
            <w:r>
              <w:rPr>
                <w:sz w:val="18"/>
              </w:rPr>
              <w:t>Бухгалтерия</w:t>
            </w:r>
          </w:p>
        </w:tc>
        <w:tc>
          <w:tcPr>
            <w:tcW w:type="dxa" w:w="3360"/>
          </w:tcPr>
          <w:p>
            <w:pPr>
              <w:spacing w:after="60"/>
            </w:pPr>
            <w:r>
              <w:rPr>
                <w:sz w:val="18"/>
              </w:rPr>
              <w:t>Баланс на 31.05.2026 и ОФР январь–май в Doc – 22.06.2026 – 09-17.pdf; ОСВ и лизинг</w:t>
            </w:r>
          </w:p>
        </w:tc>
        <w:tc>
          <w:tcPr>
            <w:tcW w:type="dxa" w:w="3360"/>
          </w:tcPr>
          <w:p>
            <w:pPr>
              <w:spacing w:after="60"/>
            </w:pPr>
            <w:r>
              <w:rPr>
                <w:sz w:val="18"/>
              </w:rPr>
              <w:t>Сверить читаемые цифры, годовой комплект, обязательства и налоги</w:t>
            </w:r>
          </w:p>
        </w:tc>
      </w:tr>
      <w:tr>
        <w:trPr>
          <w:cantSplit/>
        </w:trPr>
        <w:tc>
          <w:tcPr>
            <w:tcW w:type="dxa" w:w="3360"/>
          </w:tcPr>
          <w:p>
            <w:pPr>
              <w:spacing w:after="60"/>
            </w:pPr>
            <w:r>
              <w:rPr>
                <w:sz w:val="18"/>
              </w:rPr>
              <w:t>Запасы</w:t>
            </w:r>
          </w:p>
        </w:tc>
        <w:tc>
          <w:tcPr>
            <w:tcW w:type="dxa" w:w="3360"/>
          </w:tcPr>
          <w:p>
            <w:pPr>
              <w:spacing w:after="60"/>
            </w:pPr>
            <w:r>
              <w:rPr>
                <w:sz w:val="18"/>
              </w:rPr>
              <w:t>Геология, протоколы и формы 5-ГР</w:t>
            </w:r>
          </w:p>
        </w:tc>
        <w:tc>
          <w:tcPr>
            <w:tcW w:type="dxa" w:w="3360"/>
          </w:tcPr>
          <w:p>
            <w:pPr>
              <w:spacing w:after="60"/>
            </w:pPr>
            <w:r>
              <w:rPr>
                <w:sz w:val="18"/>
              </w:rPr>
              <w:t>Не присваивать таблицу «Балансовые запасы.docx» без названия месторождения</w:t>
            </w:r>
          </w:p>
        </w:tc>
      </w:tr>
    </w:tbl>
    <w:p>
      <w:r>
        <w:t>В программе отдельная кнопка «Разрешительные документы»: безопасные представления найденных лицензий, сертификатов, горных, корпоративных и бухгалтерских документов. Полные оригиналы — во внутреннем каталоге. Наличие файла не является заключением об актуальной юридической и технической готовности всего предприятия.</w:t>
      </w:r>
    </w:p>
    <w:p>
      <w:r>
        <w:t>Первоочередные поручения: коммерческому руководителю — текущие заявки и условия оплаты; техническому руководителю — пробы и параметры подготовки; бухгалтеру — текущая отчётность и обязательства; ответственному за недропользование — действующие согласования. Каждый переход к расходам подтверждается документом и расчётом.</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12.10.2026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КАРЬЕР «МАРУХТИНСКОЕ-2»  |  ДОПОЛНЕНИЕ К БИЗНЕС-ПЛАНУ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Развитие карьера: известь, конкуренты, мука и подтверждающие документы</dc:title>
  <dc:subject/>
  <dc:creator>РесурсПроект</dc:creator>
  <cp:keywords/>
  <dc:description>generated by python-docx</dc:description>
  <cp:lastModifiedBy/>
  <cp:revision>1</cp:revision>
  <dcterms:created xsi:type="dcterms:W3CDTF">2013-12-23T23:15:00Z</dcterms:created>
  <dcterms:modified xsi:type="dcterms:W3CDTF">2013-12-23T23:15:00Z</dcterms:modified>
  <cp:category/>
</cp:coreProperties>
</file>