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tests that opaque XML elements survive the parse-diff-redline-export pipeline without corruption.</w:t>
      </w:r>
    </w:p>
    <w:p>
      <w:r>
        <w:t xml:space="preserve">Exhibit A depicts the updated system diagram: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as shown above.</w:t>
      </w:r>
    </w:p>
    <w:p>
      <w:r>
        <w:t>The parties agree to the revised terms and conditions set forth in the preceding sections of this agreement.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Signature</w:t>
            </w:r>
          </w:p>
        </w:tc>
      </w:tr>
      <w:tr>
        <w:tc>
          <w:tcPr>
            <w:tcW w:type="dxa" w:w="4320"/>
          </w:tcPr>
          <w:p>
            <w:r>
              <w:t>Vendor Inc.</w:t>
            </w:r>
          </w:p>
        </w:tc>
        <w:tc>
          <w:tcPr>
            <w:tcW w:type="dxa" w:w="4320"/>
          </w:tcPr>
          <w:sdt>
            <w:sdtPr>
              <w:alias w:val="Signature"/>
            </w:sdtPr>
            <w:sdtContent>
              <w:p>
                <w:r>
                  <w:t>[Sign here]</w:t>
                </w:r>
              </w:p>
            </w:sdtContent>
          </w:sdt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Agreement effective </w:t>
      </w:r>
      <w:fldSimple w:instr=" DATE \@ &quot;MMMM d, yyyy&quot; ">
        <w:r>
          <w:t>January 15, 2025</w:t>
        </w:r>
      </w:fldSimple>
      <w:r>
        <w:t xml:space="preserve"> is now in force.</w:t>
      </w:r>
    </w:p>
    <w:p>
      <w:r>
        <w:t xml:space="preserve">Please refer to </w:t>
      </w:r>
      <w:hyperlink r:id="rId9">
        <w:r>
          <w:rPr>
            <w:rStyle w:val="Hyperlink"/>
          </w:rPr>
          <w:t>the official documentation</w:t>
        </w:r>
      </w:hyperlink>
      <w:r>
        <w:t xml:space="preserve"> for full specifications.</w:t>
      </w:r>
    </w:p>
    <w:p>
      <w:r>
        <w:t xml:space="preserve">Cross-reference: refer to </w:t>
      </w:r>
      <w:bookmarkStart w:id="0" w:name="_Ref_Clause_4_2"/>
      <w:r>
        <w:t>Clause 4.2</w:t>
      </w:r>
      <w:bookmarkEnd w:id="0"/>
      <w:r>
        <w:t xml:space="preserve"> regarding warranty obligations.</w:t>
      </w:r>
    </w:p>
    <w:sdt>
      <w:sdtPr>
        <w:alias w:val="Effective Date"/>
        <w:tag w:val="effective_date"/>
      </w:sdtPr>
      <w:sdtContent>
        <w:p>
          <w:r>
            <w:t>January 15, 2025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