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document tests that opaque XML elements survive the parse-diff-redline-export pipeline without corruption.</w:t>
      </w:r>
    </w:p>
    <w:p>
      <w:r>
        <w:t xml:space="preserve">Exhibit A shows the original system diagram: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as referenced above.</w:t>
      </w:r>
    </w:p>
    <w:p>
      <w:r>
        <w:t>The parties agree to the original terms and conditions set forth in the preceding sections of this agreement.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Party</w:t>
            </w:r>
          </w:p>
        </w:tc>
        <w:tc>
          <w:tcPr>
            <w:tcW w:type="dxa" w:w="4320"/>
          </w:tcPr>
          <w:p>
            <w:r>
              <w:t>Signature</w:t>
            </w:r>
          </w:p>
        </w:tc>
      </w:tr>
      <w:tr>
        <w:tc>
          <w:tcPr>
            <w:tcW w:type="dxa" w:w="4320"/>
          </w:tcPr>
          <w:p>
            <w:r>
              <w:t>Vendor Corp.</w:t>
            </w:r>
          </w:p>
        </w:tc>
        <w:tc>
          <w:tcPr>
            <w:tcW w:type="dxa" w:w="4320"/>
          </w:tcPr>
          <w:sdt>
            <w:sdtPr>
              <w:alias w:val="Signature"/>
            </w:sdtPr>
            <w:sdtContent>
              <w:p>
                <w:r>
                  <w:t>[Sign here]</w:t>
                </w:r>
              </w:p>
            </w:sdtContent>
          </w:sdt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t xml:space="preserve">Contract dated </w:t>
      </w:r>
      <w:fldSimple w:instr=" DATE \@ &quot;MMMM d, yyyy&quot; ">
        <w:r>
          <w:t>January 15, 2025</w:t>
        </w:r>
      </w:fldSimple>
      <w:r>
        <w:t xml:space="preserve"> is hereby executed.</w:t>
      </w:r>
    </w:p>
    <w:p>
      <w:r>
        <w:t xml:space="preserve">For more information, see </w:t>
      </w:r>
      <w:hyperlink r:id="rId9">
        <w:r>
          <w:rPr>
            <w:rStyle w:val="Hyperlink"/>
          </w:rPr>
          <w:t>the official documentation</w:t>
        </w:r>
      </w:hyperlink>
      <w:r>
        <w:t xml:space="preserve"> for complete details.</w:t>
      </w:r>
    </w:p>
    <w:p>
      <w:r>
        <w:t xml:space="preserve">Section reference: see </w:t>
      </w:r>
      <w:bookmarkStart w:id="0" w:name="_Ref_Clause_4_2"/>
      <w:r>
        <w:t>Clause 4.2</w:t>
      </w:r>
      <w:bookmarkEnd w:id="0"/>
      <w:r>
        <w:t xml:space="preserve"> for warranty terms.</w:t>
      </w:r>
    </w:p>
    <w:sdt>
      <w:sdtPr>
        <w:alias w:val="Effective Date"/>
        <w:tag w:val="effective_date"/>
      </w:sdtPr>
      <w:sdtContent>
        <w:p>
          <w:r>
            <w:t>January 15, 2025</w:t>
          </w:r>
        </w:p>
      </w:sdtContent>
    </w:sdt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docs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