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LICENSE AGREEMENT</w:t>
      </w:r>
    </w:p>
    <w:p/>
    <w:p>
      <w:r>
        <w:t>This Software License Agreement ("Agreement") is entered into as of January 15, 2025 ("Effective Date") by and between TechVendor Inc., a Delaware corporation ("Vendor"), and Customer Corp., a California corporation ("Customer").</w:t>
      </w:r>
    </w:p>
    <w:p>
      <w:pPr>
        <w:pStyle w:val="Heading1"/>
        <w:jc w:val="left"/>
      </w:pPr>
      <w:r>
        <w:t>1. LICENSE GRANT</w:t>
      </w:r>
    </w:p>
    <w:p>
      <w:r>
        <w:t>1.1 Grant. Subject to the terms of this Agreement and payment of the applicable fees, Vendor grants to Customer a non-exclusive, worldwide license to use the Software for Customer's internal business purposes.</w:t>
      </w:r>
    </w:p>
    <w:p>
      <w:r>
        <w:t>1.2 Restrictions. Customer shall not: (a) sublicense, sell, or transfer the Software; (b) modify or create derivative works; (c) reverse engineer or decompile the Software; or (d) use the Software for any unlawful purpose.</w:t>
      </w:r>
    </w:p>
    <w:p>
      <w:pPr>
        <w:pStyle w:val="Heading1"/>
        <w:jc w:val="left"/>
      </w:pPr>
      <w:r>
        <w:t>2. FEES AND PAYMENT</w:t>
      </w:r>
    </w:p>
    <w:p>
      <w:r>
        <w:t>2.1 License Fee. Customer shall pay Vendor an annual license fee of Fifty Thousand Dollars ($50,000) payable in advance on each anniversary of the Effective Date.</w:t>
      </w:r>
    </w:p>
    <w:p>
      <w:r>
        <w:t>2.2 Payment Terms. All payments are due within thirty (30) days of invoice. Late payments shall accrue interest at the rate of 1.5% per month or the maximum rate permitted by law, whichever is less.</w:t>
      </w:r>
    </w:p>
    <w:p>
      <w:pPr>
        <w:pStyle w:val="Heading1"/>
        <w:jc w:val="left"/>
      </w:pPr>
      <w:r>
        <w:t>3. TERM AND TERMINATION</w:t>
      </w:r>
    </w:p>
    <w:p>
      <w:r>
        <w:t>3.1 Term. This Agreement shall commence on the Effective Date and continue for an initial term of three (3) years, unless earlier terminated as provided herein.</w:t>
      </w:r>
    </w:p>
    <w:p>
      <w:r>
        <w:t>3.2 Termination for Convenience. Either party may terminate this Agreement for any reason upon ninety (90) days' prior written notice to the other party.</w:t>
      </w:r>
    </w:p>
    <w:p>
      <w:r>
        <w:t>3.3 Termination for Cause. Either party may terminate this Agreement immediately upon written notice if the other party materially breaches this Agreement and fails to cure such breach within thirty (30) days after receipt of written notice thereof.</w:t>
      </w:r>
    </w:p>
    <w:p>
      <w:pPr>
        <w:pStyle w:val="Heading1"/>
        <w:jc w:val="left"/>
      </w:pPr>
      <w:r>
        <w:t>4. WARRANTIES</w:t>
      </w:r>
    </w:p>
    <w:p>
      <w:r>
        <w:t>4.1 Performance Warranty. Vendor warrants that the Software will perform substantially in accordance with its documentation for a period of twelve (12) months from delivery.</w:t>
      </w:r>
    </w:p>
    <w:p>
      <w:r>
        <w:t>4.2 Authority. Each party represents and warrants that it has full power and authority to enter into this Agreement.</w:t>
      </w:r>
    </w:p>
    <w:p>
      <w:r>
        <w:t>4.3 Malicious Code. Vendor warrants that the Software, as delivered, will be free from viruses, malware, and other malicious code.</w:t>
      </w:r>
    </w:p>
    <w:p>
      <w:pPr>
        <w:pStyle w:val="Heading1"/>
        <w:jc w:val="left"/>
      </w:pPr>
      <w:r>
        <w:t>5. INDEMNIFICATION</w:t>
      </w:r>
    </w:p>
    <w:p>
      <w:r>
        <w:t>5.1 Vendor Indemnification. Vendor shall defend, indemnify, and hold harmless Customer and its officers, directors, employees, and agents from and against any and all claims, damages, losses, costs, and expenses (including reasonable attorneys' fees) arising out of or relating to any third-party claim that the Software infringes any intellectual property right.</w:t>
      </w:r>
    </w:p>
    <w:p>
      <w:r>
        <w:t>5.2 Customer Indemnification. Customer shall defend, indemnify, and hold harmless Vendor from and against any claims arising out of Customer's use of the Software in violation of this Agreement.</w:t>
      </w:r>
    </w:p>
    <w:p>
      <w:pPr>
        <w:pStyle w:val="Heading1"/>
        <w:jc w:val="left"/>
      </w:pPr>
      <w:r>
        <w:t>6. LIMITATION OF LIABILITY</w:t>
      </w:r>
    </w:p>
    <w:p>
      <w:r>
        <w:t>6.1 Liability Cap. IN NO EVENT SHALL VENDOR'S TOTAL AGGREGATE LIABILITY UNDER THIS AGREEMENT EXCEED THE AMOUNT OF FEES PAID BY CUSTOMER TO VENDOR DURING THE TWELVE (12) MONTHS PRECEDING THE CLAIM. This limitation shall apply to all claims, whether based on warranty, contract, tort, or any other legal theory.</w:t>
      </w:r>
    </w:p>
    <w:p>
      <w:r>
        <w:t>6.2 Exclusion. IN NO EVENT SHALL EITHER PARTY BE LIABLE FOR ANY INDIRECT, INCIDENTAL, SPECIAL, CONSEQUENTIAL, OR PUNITIVE DAMAGES.</w:t>
      </w:r>
    </w:p>
    <w:p>
      <w:pPr>
        <w:pStyle w:val="Heading1"/>
        <w:jc w:val="left"/>
      </w:pPr>
      <w:r>
        <w:t>7. SUPPORT AND MAINTENANCE</w:t>
      </w:r>
    </w:p>
    <w:p>
      <w:r>
        <w:t>7.1 Support Services. Vendor shall use best efforts to provide technical support during normal business hours (9 AM to 6 PM Eastern Time, Monday through Friday, excluding holidays).</w:t>
      </w:r>
    </w:p>
    <w:p>
      <w:r>
        <w:t>7.2 Response Times. Vendor shall use best efforts to respond to critical issues within four (4) hours and non-critical issues within twenty-four (24) hours.</w:t>
      </w:r>
    </w:p>
    <w:p>
      <w:r>
        <w:t>7.3 Updates. Vendor shall provide all updates, patches, and bug fixes released during the term of this Agreement at no additional cost.</w:t>
      </w:r>
    </w:p>
    <w:p>
      <w:pPr>
        <w:pStyle w:val="Heading1"/>
        <w:jc w:val="left"/>
      </w:pPr>
      <w:r>
        <w:t>8. CONFIDENTIALITY</w:t>
      </w:r>
    </w:p>
    <w:p>
      <w:r>
        <w:t>8.1 Confidential Information. Each party agrees to maintain the confidentiality of any proprietary or confidential information disclosed by the other party and to use such information only for purposes of this Agreement.</w:t>
      </w:r>
    </w:p>
    <w:p>
      <w:r>
        <w:t>8.2 Survival. The obligations of confidentiality shall survive termination of this Agreement for a period of three (3) years.</w:t>
      </w:r>
    </w:p>
    <w:p>
      <w:pPr>
        <w:pStyle w:val="Heading1"/>
        <w:jc w:val="left"/>
      </w:pPr>
      <w:r>
        <w:t>9. GENERAL PROVISIONS</w:t>
      </w:r>
    </w:p>
    <w:p>
      <w:r>
        <w:t>9.1 Governing Law. This Agreement shall be governed by and construed in accordance with the laws of the State of California, without regard to its conflict of laws principles.</w:t>
      </w:r>
    </w:p>
    <w:p>
      <w:r>
        <w:t>9.2 Dispute Resolution. Any dispute arising out of this Agreement shall be resolved by binding arbitration in San Francisco, California, in accordance with the rules of the American Arbitration Association.</w:t>
      </w:r>
    </w:p>
    <w:p>
      <w:r>
        <w:t>9.3 Entire Agreement. This Agreement constitutes the entire agreement between the parties and supersedes all prior agreements, understandings, and communications.</w:t>
      </w:r>
    </w:p>
    <w:p>
      <w:r>
        <w:t>9.4 Amendment. This Agreement may not be amended except by a written instrument signed by both parties.</w:t>
      </w:r>
    </w:p>
    <w:p>
      <w:r>
        <w:t>9.5 Assignment. Neither party may assign this Agreement without the prior written consent of the other party.</w:t>
      </w:r>
    </w:p>
    <w:p/>
    <w:p>
      <w:r>
        <w:t>IN WITNESS WHEREOF, the parties have executed this Agreement as of the Effective Date.</w:t>
      </w:r>
    </w:p>
    <w:p/>
    <w:tbl>
      <w:tblPr>
        <w:tblW w:type="auto" w:w="0"/>
        <w:tblLook w:firstColumn="1" w:firstRow="1" w:lastColumn="0" w:lastRow="0" w:noHBand="0" w:noVBand="1" w:val="04A0"/>
      </w:tblPr>
      <w:tblGrid>
        <w:gridCol w:w="4320"/>
        <w:gridCol w:w="4320"/>
      </w:tblGrid>
      <w:tr>
        <w:tc>
          <w:tcPr>
            <w:tcW w:type="dxa" w:w="4320"/>
          </w:tcPr>
          <w:p>
            <w:r>
              <w:t>TECHVENDOR INC.</w:t>
            </w:r>
          </w:p>
        </w:tc>
        <w:tc>
          <w:tcPr>
            <w:tcW w:type="dxa" w:w="4320"/>
          </w:tcPr>
          <w:p>
            <w:r>
              <w:t>CUSTOMER CORP.</w:t>
            </w:r>
          </w:p>
        </w:tc>
      </w:tr>
      <w:tr>
        <w:tc>
          <w:tcPr>
            <w:tcW w:type="dxa" w:w="4320"/>
          </w:tcPr>
          <w:p>
            <w:r>
              <w:t>By: _________________________</w:t>
            </w:r>
          </w:p>
        </w:tc>
        <w:tc>
          <w:tcPr>
            <w:tcW w:type="dxa" w:w="4320"/>
          </w:tcPr>
          <w:p>
            <w:r>
              <w:t>By: _________________________</w:t>
            </w:r>
          </w:p>
        </w:tc>
      </w:tr>
      <w:tr>
        <w:tc>
          <w:tcPr>
            <w:tcW w:type="dxa" w:w="4320"/>
          </w:tcPr>
          <w:p>
            <w:r>
              <w:t>Name:</w:t>
            </w:r>
          </w:p>
        </w:tc>
        <w:tc>
          <w:tcPr>
            <w:tcW w:type="dxa" w:w="4320"/>
          </w:tcPr>
          <w:p>
            <w:r>
              <w:t>Name:</w:t>
            </w:r>
          </w:p>
        </w:tc>
      </w:tr>
      <w:tr>
        <w:tc>
          <w:tcPr>
            <w:tcW w:type="dxa" w:w="4320"/>
          </w:tcPr>
          <w:p>
            <w:r>
              <w:t>Title:</w:t>
            </w:r>
          </w:p>
        </w:tc>
        <w:tc>
          <w:tcPr>
            <w:tcW w:type="dxa" w:w="4320"/>
          </w:tcPr>
          <w:p>
            <w:r>
              <w:t>Title: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