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Section 2 content (continuous, left=720).</w:t>
      </w:r>
    </w:p>
    <w:p>
      <w:pPr>
        <w:sectPr>
          <w:type w:val="continuous"/>
          <w:pgMar w:left="720"/>
        </w:sectPr>
      </w:pPr>
    </w:p>
    <w:p>
      <w:r>
        <w:t>Section 3 content (continuous, left=360).</w:t>
      </w:r>
    </w:p>
    <w:p>
      <w:pPr>
        <w:sectPr>
          <w:type w:val="continuous"/>
          <w:pgMar w:left="360"/>
        </w:sectPr>
      </w:pPr>
    </w:p>
    <w:p>
      <w:r>
        <w:t>Section 4 content (continuous, left=180).</w:t>
      </w:r>
    </w:p>
    <w:sectPr>
      <w:type w:val="continuous"/>
      <w:pgMar w:left="180"/>
    </w:sectPr>
  </w:body>
</w:document>
</file>

<file path=word/_rels/document.xml.rels><?xml version="1.0" encoding="UTF-8" standalone="yes"?>
<Relationships xmlns="http://schemas.openxmlformats.org/package/2006/relationships">

</Relationships>

</file>