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 (Letter).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Section 2 content (continuous but Legal).</w:t>
      </w:r>
    </w:p>
    <w:sectPr>
      <w:type w:val="continuous"/>
      <w:pgSz w:w="12240" w:h="2016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
</Relationships>

</file>