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Section 1 content - no footer.</w:t>
      </w:r>
    </w:p>
    <w:p>
      <w:pPr>
        <w:sectPr>
          <w:pgSz w:w="12240" w:h="15840"/>
          <w:pgMar w:top="1440" w:right="1440" w:bottom="1440" w:left="1440"/>
        </w:sectPr>
      </w:pPr>
    </w:p>
    <w:p>
      <w:r>
        <w:t>Section 2 content - has a footer.</w:t>
      </w:r>
    </w:p>
    <w:sectPr>
      <w:footerReference w:type="default" r:id="rId2"/>
      <w:pgSz w:w="12240" w:h="15840"/>
      <w:pgMar w:top="1440" w:right="1440" w:bottom="1440" w:left="144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Section 2 Footer</w:t>
    </w:r>
  </w:p>
</w:ftr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footer" Target="footer1.xml"/>
</Relationships>

</file>