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paragraph that sets up the document context and remains in place.</w:t>
      </w:r>
    </w:p>
    <w:p>
      <w:r>
        <w:t>Conclusion paragraph that wraps up the document and will be repositioned.</w:t>
      </w:r>
    </w:p>
    <w:p>
      <w:r>
        <w:t>Detail paragraph Alpha with unique content that exceeds twenty characters easily.</w:t>
      </w:r>
    </w:p>
    <w:p>
      <w:r>
        <w:t>Detail paragraph Bravo with distinct content that also exceeds the threshold.</w:t>
      </w:r>
    </w:p>
    <w:p>
      <w:r>
        <w:t>Detail paragraph Charlie with separate content that surpasses the limit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