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EA" w:rsidRDefault="00FE40EA" w:rsidP="00FE40EA">
      <w:pPr>
        <w:pStyle w:val="msonospacing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Risk Management Table</w:t>
      </w:r>
    </w:p>
    <w:p w:rsidR="00FE40EA" w:rsidRPr="000F5828" w:rsidRDefault="000678F1" w:rsidP="00FE40EA">
      <w:pPr>
        <w:pStyle w:val="msonospacing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XYZ</w:t>
      </w:r>
      <w:r w:rsidR="00FE40EA">
        <w:rPr>
          <w:b/>
          <w:sz w:val="32"/>
          <w:szCs w:val="32"/>
        </w:rPr>
        <w:t xml:space="preserve"> Project</w:t>
      </w:r>
    </w:p>
    <w:p w:rsidR="00FE40EA" w:rsidRPr="00F616E4" w:rsidRDefault="000678F1" w:rsidP="00FE40EA">
      <w:pPr>
        <w:pStyle w:val="msonospacing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 w:rsidR="00FB43F1">
        <w:rPr>
          <w:b/>
          <w:sz w:val="28"/>
          <w:szCs w:val="28"/>
        </w:rPr>
        <w:t xml:space="preserve"> 2010</w:t>
      </w:r>
    </w:p>
    <w:p w:rsidR="00FE40EA" w:rsidRDefault="00FE40EA" w:rsidP="00FE40EA">
      <w:pPr>
        <w:pStyle w:val="msonospacing0"/>
        <w:jc w:val="center"/>
        <w:rPr>
          <w:b/>
          <w:sz w:val="28"/>
          <w:szCs w:val="28"/>
        </w:rPr>
      </w:pPr>
    </w:p>
    <w:p w:rsidR="00FE40EA" w:rsidRDefault="00FE40EA" w:rsidP="00FE40EA"/>
    <w:tbl>
      <w:tblPr>
        <w:tblW w:w="0" w:type="auto"/>
        <w:jc w:val="center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835"/>
        <w:gridCol w:w="3174"/>
        <w:gridCol w:w="1258"/>
        <w:gridCol w:w="1991"/>
        <w:gridCol w:w="1027"/>
        <w:gridCol w:w="1377"/>
      </w:tblGrid>
      <w:tr w:rsidR="00BE4BD2">
        <w:trPr>
          <w:jc w:val="center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Risk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Issue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Risk Area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Response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Impact</w:t>
            </w:r>
          </w:p>
        </w:tc>
        <w:tc>
          <w:tcPr>
            <w:tcW w:w="1377" w:type="dxa"/>
            <w:shd w:val="clear" w:color="auto" w:fill="auto"/>
          </w:tcPr>
          <w:p w:rsidR="00FE40EA" w:rsidRPr="008872F5" w:rsidRDefault="00FE40EA" w:rsidP="00FE40EA">
            <w:pPr>
              <w:widowControl/>
              <w:rPr>
                <w:b/>
              </w:rPr>
            </w:pPr>
            <w:r w:rsidRPr="008872F5">
              <w:rPr>
                <w:b/>
              </w:rPr>
              <w:t>Probability</w: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Pr="00625BB8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 w:rsidRPr="00625BB8">
              <w:rPr>
                <w:sz w:val="22"/>
                <w:szCs w:val="24"/>
              </w:rPr>
              <w:t>Unfinished</w:t>
            </w:r>
            <w:r>
              <w:rPr>
                <w:sz w:val="22"/>
                <w:szCs w:val="24"/>
              </w:rPr>
              <w:t xml:space="preserve"> draft of XML – ANSI/NIST – ITL 2-200X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 and Project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ANSI/NIST ITL 2-2008, Part 2 Standard was approved on 7/12/2008.</w:t>
            </w: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 of 3/01/2009, the standard is considered prone to changes rather than unfinished.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V. High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26" style="position:absolute;margin-left:0;margin-top:41pt;width:45.75pt;height:15.75pt;z-index:251648000;mso-position-horizontal:center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R-02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 xml:space="preserve">Procurement of  hardware and system software environments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Early definition, analysis of procurement options, contingency plan (government).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29" style="position:absolute;margin-left:0;margin-top:21.75pt;width:45.75pt;height:15.75pt;z-index:251651072;mso-position-horizontal:center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R-03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Installation and maintenance of requirements and  configuration management 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Technical, Financial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 xml:space="preserve">IBM Rational tools not included in budget.  Preferably, Government Furnished Equipment will have these tools installed. </w:t>
            </w:r>
          </w:p>
          <w:p w:rsidR="00FE40EA" w:rsidRDefault="00FE40EA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Resolution:</w:t>
            </w: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The FBI COTR has agreed to the use of WVURC developed tools described in Appendix A of the December Monthly Status Report.</w:t>
            </w:r>
          </w:p>
          <w:p w:rsidR="00FE40EA" w:rsidRDefault="00FE40EA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The WVURC purchased a version control hosting service from SourceHosting.net.</w:t>
            </w:r>
          </w:p>
          <w:p w:rsidR="006829A8" w:rsidRDefault="006829A8" w:rsidP="00FE40EA">
            <w:pPr>
              <w:rPr>
                <w:sz w:val="22"/>
              </w:rPr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28" style="position:absolute;margin-left:0;margin-top:38.75pt;width:45.75pt;height:15.75pt;z-index:251650048;mso-position-horizontal:center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D7267B" w:rsidRDefault="00D7267B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R-04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67B" w:rsidRDefault="00D7267B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Agreement on the software development environment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67B" w:rsidRDefault="00D7267B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67B" w:rsidRDefault="00D7267B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 xml:space="preserve">Timely discussion with COTR and technical representatives. 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D7267B" w:rsidRDefault="00D7267B" w:rsidP="00FE40EA">
            <w:pPr>
              <w:rPr>
                <w:sz w:val="22"/>
              </w:rPr>
            </w:pPr>
          </w:p>
          <w:p w:rsidR="00FE40EA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</w:p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27" style="position:absolute;margin-left:6.1pt;margin-top:7.5pt;width:45.75pt;height:15.75pt;z-index:251649024" fillcolor="green"/>
              </w:pict>
            </w:r>
          </w:p>
        </w:tc>
      </w:tr>
      <w:tr w:rsidR="00BE4BD2" w:rsidRPr="004B1419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Pr="004B1419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R-05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 xml:space="preserve">Standards discrepancy  comparison and resolution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  <w:szCs w:val="24"/>
              </w:rPr>
            </w:pPr>
            <w:r w:rsidRPr="004B1419">
              <w:rPr>
                <w:sz w:val="22"/>
                <w:szCs w:val="24"/>
              </w:rPr>
              <w:t>Technical and project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Firm delivery date and contingency plan</w:t>
            </w:r>
          </w:p>
          <w:p w:rsidR="00FE40EA" w:rsidRPr="004B1419" w:rsidRDefault="00FE40EA" w:rsidP="00FE40EA">
            <w:pPr>
              <w:rPr>
                <w:sz w:val="22"/>
              </w:rPr>
            </w:pPr>
          </w:p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Establish a monthly technical meeting between the FBI, WVURC and NIST to communicate and collaborate on any issues</w:t>
            </w:r>
            <w:r>
              <w:rPr>
                <w:sz w:val="22"/>
              </w:rPr>
              <w:t>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V. High</w:t>
            </w:r>
          </w:p>
        </w:tc>
        <w:tc>
          <w:tcPr>
            <w:tcW w:w="1377" w:type="dxa"/>
            <w:shd w:val="clear" w:color="auto" w:fill="auto"/>
          </w:tcPr>
          <w:p w:rsidR="00FE40EA" w:rsidRPr="004B1419" w:rsidRDefault="00FE40EA" w:rsidP="00FE40EA">
            <w:pPr>
              <w:widowControl/>
            </w:pPr>
            <w:r>
              <w:pict>
                <v:oval id="_x0000_s1033" style="position:absolute;margin-left:487.5pt;margin-top:672.75pt;width:45.75pt;height:15.75pt;z-index:251655168;mso-position-horizontal-relative:text;mso-position-vertical-relative:text" fillcolor="#f90"/>
              </w:pict>
            </w:r>
            <w:r>
              <w:rPr>
                <w:noProof/>
              </w:rPr>
              <w:pict>
                <v:oval id="_x0000_s1030" style="position:absolute;margin-left:0;margin-top:18.05pt;width:45.75pt;height:15.75pt;z-index:251652096;mso-position-horizontal:center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Pr="004B1419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R-06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Requirements change outside of standards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Technical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Discussions with FBI COTR to possibly incorporate changes</w:t>
            </w:r>
            <w:r>
              <w:rPr>
                <w:sz w:val="22"/>
              </w:rPr>
              <w:t>.</w:t>
            </w:r>
          </w:p>
          <w:p w:rsidR="00FE40EA" w:rsidRDefault="00FE40EA" w:rsidP="00FE40EA">
            <w:pPr>
              <w:rPr>
                <w:sz w:val="22"/>
              </w:rPr>
            </w:pPr>
          </w:p>
          <w:p w:rsidR="00FE40EA" w:rsidRPr="004B1419" w:rsidRDefault="00FE40EA" w:rsidP="00FE40EA">
            <w:pPr>
              <w:rPr>
                <w:sz w:val="22"/>
              </w:rPr>
            </w:pPr>
            <w:r>
              <w:rPr>
                <w:sz w:val="22"/>
              </w:rPr>
              <w:t>An impact analysis and rough order of magnitude will be prepared to detail any changes to technical requirements and their effect on project time, cost, and other project parameters.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Pr="004B1419" w:rsidRDefault="00FE40EA" w:rsidP="00FE40EA">
            <w:pPr>
              <w:rPr>
                <w:sz w:val="22"/>
              </w:rPr>
            </w:pPr>
            <w:r w:rsidRPr="004B1419">
              <w:rPr>
                <w:sz w:val="22"/>
              </w:rPr>
              <w:t>V. High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31" style="position:absolute;margin-left:6.15pt;margin-top:10.5pt;width:45.75pt;height:15.75pt;z-index:251653120;mso-position-horizontal-relative:text;mso-position-vertical-relative:text" fillcolor="green"/>
              </w:pict>
            </w:r>
          </w:p>
        </w:tc>
      </w:tr>
      <w:tr w:rsidR="00FE40EA">
        <w:trPr>
          <w:jc w:val="center"/>
        </w:trPr>
        <w:tc>
          <w:tcPr>
            <w:tcW w:w="966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FE40EA" w:rsidRPr="00E85CBD" w:rsidRDefault="00FE40EA" w:rsidP="00FE40EA">
            <w:pPr>
              <w:widowControl/>
              <w:jc w:val="center"/>
              <w:rPr>
                <w:b/>
                <w:noProof/>
              </w:rPr>
            </w:pPr>
            <w:r w:rsidRPr="00E85CBD">
              <w:rPr>
                <w:b/>
                <w:noProof/>
              </w:rPr>
              <w:t>Emerging Risks</w: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Rejection of configuration management tools used by WVURC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principal scientific investigator will develop a description of the configuration management tools and processes that will be used.</w:t>
            </w: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FBI will provide feedback on intended tools.</w:t>
            </w: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 description of WVURC proposed configuration management tools was provided to the FBI in Appendix A of the November Monthly Status Report.</w:t>
            </w: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WVURC selected configuration management tools were approved by the FBI.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Low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32" style="position:absolute;margin-left:6.1pt;margin-top:12.95pt;width:45.75pt;height:15.75pt;z-index:251654144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R-08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Insufficient test data for tool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ind w:left="1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The WVURC will request additional test files from NIST.</w:t>
            </w:r>
          </w:p>
          <w:p w:rsidR="00FE40EA" w:rsidRDefault="00FE40EA" w:rsidP="00FE40EA">
            <w:pPr>
              <w:ind w:left="11"/>
              <w:rPr>
                <w:sz w:val="22"/>
                <w:szCs w:val="24"/>
              </w:rPr>
            </w:pPr>
          </w:p>
          <w:p w:rsidR="00FE40EA" w:rsidRDefault="00FE40EA" w:rsidP="00FE40EA">
            <w:pPr>
              <w:ind w:left="1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Generate data from existing tools.</w:t>
            </w:r>
          </w:p>
          <w:p w:rsidR="0083288A" w:rsidRDefault="0083288A" w:rsidP="00FE40EA">
            <w:pPr>
              <w:ind w:left="11"/>
              <w:rPr>
                <w:sz w:val="22"/>
                <w:szCs w:val="24"/>
              </w:rPr>
            </w:pPr>
          </w:p>
          <w:p w:rsidR="0083288A" w:rsidRDefault="00B70209" w:rsidP="00FE40EA">
            <w:pPr>
              <w:ind w:left="1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WVU has employed a student in </w:t>
            </w:r>
            <w:r w:rsidR="0083288A">
              <w:rPr>
                <w:sz w:val="22"/>
                <w:szCs w:val="24"/>
              </w:rPr>
              <w:t>the role of test data engineer to address this risk.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Medium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</w:pPr>
            <w:r>
              <w:rPr>
                <w:noProof/>
              </w:rPr>
              <w:pict>
                <v:oval id="_x0000_s1034" style="position:absolute;margin-left:0;margin-top:12.6pt;width:45.75pt;height:15.75pt;z-index:251656192;mso-position-horizontal:center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Proprietary constraints on the distribution of source code obtained from third-parties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Technical; Project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WVURC will seek clarification from the FBI as to the level of freedom required in the re-distribution of source code</w:t>
            </w:r>
          </w:p>
          <w:p w:rsidR="00FE40EA" w:rsidRDefault="00FE40EA" w:rsidP="00FE40EA">
            <w:pPr>
              <w:rPr>
                <w:sz w:val="22"/>
                <w:szCs w:val="24"/>
              </w:rPr>
            </w:pPr>
          </w:p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WVURC will examine the use of third-party tools for code generation and their distribution constraints</w:t>
            </w:r>
            <w:r w:rsidR="0083288A">
              <w:rPr>
                <w:sz w:val="22"/>
                <w:szCs w:val="24"/>
              </w:rPr>
              <w:t xml:space="preserve">                 </w:t>
            </w:r>
          </w:p>
          <w:p w:rsidR="0083288A" w:rsidRDefault="0083288A" w:rsidP="0083288A">
            <w:pPr>
              <w:numPr>
                <w:ilvl w:val="0"/>
                <w:numId w:val="1"/>
              </w:num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ANSI/NIST ITL Software </w:t>
            </w:r>
            <w:r w:rsidR="00B70209">
              <w:rPr>
                <w:sz w:val="22"/>
                <w:szCs w:val="24"/>
              </w:rPr>
              <w:t xml:space="preserve">will be distributed without libraries that </w:t>
            </w:r>
            <w:r w:rsidR="00B70209">
              <w:rPr>
                <w:sz w:val="22"/>
                <w:szCs w:val="24"/>
              </w:rPr>
              <w:lastRenderedPageBreak/>
              <w:t>have proprietary constraints.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40EA" w:rsidRDefault="00FE40EA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High</w:t>
            </w:r>
          </w:p>
        </w:tc>
        <w:tc>
          <w:tcPr>
            <w:tcW w:w="1377" w:type="dxa"/>
            <w:shd w:val="clear" w:color="auto" w:fill="auto"/>
          </w:tcPr>
          <w:p w:rsidR="00FE40EA" w:rsidRDefault="00FE40EA" w:rsidP="00FE40EA">
            <w:pPr>
              <w:widowControl/>
              <w:rPr>
                <w:noProof/>
              </w:rPr>
            </w:pPr>
            <w:r>
              <w:rPr>
                <w:noProof/>
              </w:rPr>
              <w:pict>
                <v:oval id="_x0000_s1035" style="position:absolute;margin-left:6.2pt;margin-top:7.75pt;width:45.75pt;height:15.75pt;z-index:251657216;mso-position-horizontal-relative:text;mso-position-vertical-relative:text" fillcolor="green"/>
              </w:pict>
            </w:r>
          </w:p>
        </w:tc>
      </w:tr>
      <w:tr w:rsidR="00BE4BD2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C19E6" w:rsidRDefault="00AC19E6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C19E6" w:rsidRDefault="00AC19E6" w:rsidP="00BE4BD2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Insufficient funding for creation of a conversion tool </w:t>
            </w:r>
            <w:r w:rsidR="00BE4BD2">
              <w:rPr>
                <w:sz w:val="22"/>
                <w:szCs w:val="24"/>
              </w:rPr>
              <w:t xml:space="preserve"> not requiring the Java Virtual Machine (</w:t>
            </w:r>
            <w:r w:rsidR="00A3451E">
              <w:rPr>
                <w:sz w:val="22"/>
                <w:szCs w:val="24"/>
              </w:rPr>
              <w:t xml:space="preserve">i.e. </w:t>
            </w:r>
            <w:r w:rsidR="00BE4BD2">
              <w:rPr>
                <w:sz w:val="22"/>
                <w:szCs w:val="24"/>
              </w:rPr>
              <w:t>developed using the</w:t>
            </w:r>
            <w:r>
              <w:rPr>
                <w:sz w:val="22"/>
                <w:szCs w:val="24"/>
              </w:rPr>
              <w:t xml:space="preserve"> C++ language</w:t>
            </w:r>
            <w:r w:rsidR="00BE4BD2">
              <w:rPr>
                <w:sz w:val="22"/>
                <w:szCs w:val="24"/>
              </w:rPr>
              <w:t>)</w:t>
            </w:r>
            <w:r w:rsidR="002A2EEE">
              <w:rPr>
                <w:sz w:val="22"/>
                <w:szCs w:val="24"/>
              </w:rPr>
              <w:t xml:space="preserve">.  Possible delays in meeting the deliverable deadline.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C19E6" w:rsidRDefault="00AC19E6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Technical; Project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C19E6" w:rsidRDefault="00AC19E6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FBI will provide official approval for development of a conversion tool</w:t>
            </w:r>
            <w:r w:rsidR="00BE4BD2">
              <w:rPr>
                <w:sz w:val="22"/>
                <w:szCs w:val="24"/>
              </w:rPr>
              <w:t xml:space="preserve"> using</w:t>
            </w:r>
            <w:r>
              <w:rPr>
                <w:sz w:val="22"/>
                <w:szCs w:val="24"/>
              </w:rPr>
              <w:t xml:space="preserve"> C++ language</w:t>
            </w:r>
          </w:p>
          <w:p w:rsidR="00AC19E6" w:rsidRDefault="00AC19E6" w:rsidP="00FE40EA">
            <w:pPr>
              <w:rPr>
                <w:sz w:val="22"/>
                <w:szCs w:val="24"/>
              </w:rPr>
            </w:pPr>
          </w:p>
          <w:p w:rsidR="00AC19E6" w:rsidRDefault="00AC19E6" w:rsidP="00FE40EA">
            <w:pPr>
              <w:rPr>
                <w:sz w:val="22"/>
                <w:szCs w:val="24"/>
              </w:rPr>
            </w:pPr>
          </w:p>
          <w:p w:rsidR="00AC19E6" w:rsidRDefault="00AC19E6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WVURC will seek additional funding from the FBI to ensure adequate resources for completion of the project.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C19E6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V. High</w:t>
            </w:r>
          </w:p>
        </w:tc>
        <w:tc>
          <w:tcPr>
            <w:tcW w:w="1377" w:type="dxa"/>
            <w:shd w:val="clear" w:color="auto" w:fill="auto"/>
          </w:tcPr>
          <w:p w:rsidR="00AC19E6" w:rsidRDefault="00A3451E" w:rsidP="00FE40EA">
            <w:pPr>
              <w:widowControl/>
              <w:rPr>
                <w:noProof/>
              </w:rPr>
            </w:pPr>
            <w:r>
              <w:rPr>
                <w:noProof/>
              </w:rPr>
              <w:pict>
                <v:oval id="_x0000_s1044" style="position:absolute;margin-left:6.15pt;margin-top:8.45pt;width:45.75pt;height:15.75pt;z-index:251666432;mso-position-horizontal-relative:text;mso-position-vertical-relative:text" fillcolor="green"/>
              </w:pict>
            </w:r>
          </w:p>
        </w:tc>
      </w:tr>
      <w:tr w:rsidR="00A3451E">
        <w:trPr>
          <w:jc w:val="center"/>
        </w:trPr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3451E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451E" w:rsidRDefault="00A3451E" w:rsidP="00BE4BD2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Insufficient staffing levels to perform project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451E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Technical; project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451E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WVURC will seek to hire additional student personnel for project work</w:t>
            </w:r>
          </w:p>
          <w:p w:rsidR="00A3451E" w:rsidRDefault="00A3451E" w:rsidP="00FE40EA">
            <w:pPr>
              <w:rPr>
                <w:sz w:val="22"/>
                <w:szCs w:val="24"/>
              </w:rPr>
            </w:pPr>
          </w:p>
          <w:p w:rsidR="00A3451E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 WVURC will seek additional funding from the FBI to ensure adequate financial resources for planned new hire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3451E" w:rsidRDefault="00A3451E" w:rsidP="00FE40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V. High </w:t>
            </w:r>
          </w:p>
        </w:tc>
        <w:tc>
          <w:tcPr>
            <w:tcW w:w="1377" w:type="dxa"/>
            <w:shd w:val="clear" w:color="auto" w:fill="auto"/>
          </w:tcPr>
          <w:p w:rsidR="00A3451E" w:rsidRDefault="002A2EEE" w:rsidP="00FE40EA">
            <w:pPr>
              <w:widowControl/>
              <w:rPr>
                <w:noProof/>
              </w:rPr>
            </w:pPr>
            <w:r>
              <w:rPr>
                <w:noProof/>
              </w:rPr>
              <w:pict>
                <v:oval id="_x0000_s1046" style="position:absolute;margin-left:3.15pt;margin-top:12.3pt;width:45.75pt;height:15.75pt;z-index:251667456;mso-position-horizontal-relative:text;mso-position-vertical-relative:text" fillcolor="green"/>
              </w:pict>
            </w:r>
          </w:p>
        </w:tc>
      </w:tr>
    </w:tbl>
    <w:p w:rsidR="00FE40EA" w:rsidRDefault="00FE40EA" w:rsidP="00FE40EA"/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6F2F35" w:rsidRPr="0090795D" w:rsidRDefault="006F2F35" w:rsidP="006F2F35">
      <w:pPr>
        <w:autoSpaceDE w:val="0"/>
        <w:autoSpaceDN w:val="0"/>
        <w:adjustRightInd w:val="0"/>
        <w:jc w:val="center"/>
        <w:rPr>
          <w:b/>
          <w:noProof/>
          <w:szCs w:val="24"/>
        </w:rPr>
      </w:pPr>
      <w:r>
        <w:rPr>
          <w:rFonts w:cs="Tahoma"/>
          <w:b/>
          <w:noProof/>
          <w:szCs w:val="24"/>
        </w:rPr>
        <w:br w:type="page"/>
      </w:r>
      <w:r w:rsidRPr="0090795D">
        <w:rPr>
          <w:b/>
          <w:noProof/>
          <w:szCs w:val="24"/>
        </w:rPr>
        <w:lastRenderedPageBreak/>
        <w:t xml:space="preserve">Appendix A </w:t>
      </w:r>
    </w:p>
    <w:p w:rsidR="006F2F35" w:rsidRDefault="006F2F35" w:rsidP="006F2F35">
      <w:pPr>
        <w:autoSpaceDE w:val="0"/>
        <w:autoSpaceDN w:val="0"/>
        <w:adjustRightInd w:val="0"/>
        <w:jc w:val="center"/>
        <w:rPr>
          <w:b/>
          <w:noProof/>
          <w:szCs w:val="24"/>
        </w:rPr>
      </w:pPr>
      <w:r w:rsidRPr="0090795D">
        <w:rPr>
          <w:b/>
          <w:noProof/>
          <w:szCs w:val="24"/>
        </w:rPr>
        <w:t>Risk Table Explanation Summary</w:t>
      </w:r>
    </w:p>
    <w:p w:rsidR="006F2F35" w:rsidRDefault="006F2F35" w:rsidP="006F2F35">
      <w:pPr>
        <w:autoSpaceDE w:val="0"/>
        <w:autoSpaceDN w:val="0"/>
        <w:adjustRightInd w:val="0"/>
        <w:jc w:val="center"/>
        <w:rPr>
          <w:b/>
          <w:noProof/>
          <w:szCs w:val="24"/>
        </w:rPr>
      </w:pPr>
    </w:p>
    <w:p w:rsidR="006F2F35" w:rsidRPr="0090795D" w:rsidRDefault="006F2F35" w:rsidP="006F2F35">
      <w:pPr>
        <w:autoSpaceDE w:val="0"/>
        <w:autoSpaceDN w:val="0"/>
        <w:adjustRightInd w:val="0"/>
        <w:jc w:val="center"/>
        <w:rPr>
          <w:b/>
          <w:noProof/>
          <w:szCs w:val="24"/>
        </w:rPr>
      </w:pPr>
    </w:p>
    <w:p w:rsidR="006F2F35" w:rsidRPr="00D86D4B" w:rsidRDefault="006F2F35" w:rsidP="006F2F35">
      <w:pPr>
        <w:autoSpaceDE w:val="0"/>
        <w:autoSpaceDN w:val="0"/>
        <w:adjustRightInd w:val="0"/>
        <w:jc w:val="center"/>
        <w:rPr>
          <w:rFonts w:cs="Tahoma"/>
        </w:rPr>
      </w:pPr>
      <w:r w:rsidRPr="00842676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45.95pt;margin-top:114pt;width:150.2pt;height:27pt;z-index:251658240;mso-width-relative:margin;mso-height-relative:margin" strokeweight="1.75pt">
            <v:stroke dashstyle="dash"/>
            <v:textbox style="mso-next-textbox:#_x0000_s1036">
              <w:txbxContent>
                <w:p w:rsidR="006F2F35" w:rsidRPr="0090795D" w:rsidRDefault="006F2F35" w:rsidP="006F2F35">
                  <w:pPr>
                    <w:jc w:val="center"/>
                    <w:rPr>
                      <w:b/>
                      <w:szCs w:val="24"/>
                    </w:rPr>
                  </w:pPr>
                  <w:r w:rsidRPr="0090795D">
                    <w:rPr>
                      <w:b/>
                      <w:szCs w:val="24"/>
                    </w:rPr>
                    <w:t>Risk Impact Key</w:t>
                  </w:r>
                </w:p>
              </w:txbxContent>
            </v:textbox>
          </v:shape>
        </w:pict>
      </w:r>
      <w:r w:rsidR="00D209DB">
        <w:rPr>
          <w:rFonts w:cs="Tahoma"/>
          <w:noProof/>
        </w:rPr>
        <w:drawing>
          <wp:inline distT="0" distB="0" distL="0" distR="0">
            <wp:extent cx="5486400" cy="3199657"/>
            <wp:effectExtent l="0" t="0" r="0" b="743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cs="Tahoma"/>
        </w:rPr>
        <w:t xml:space="preserve">                                         </w:t>
      </w:r>
    </w:p>
    <w:p w:rsidR="006F2F35" w:rsidRDefault="006F2F35" w:rsidP="006F2F35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6F2F35" w:rsidRDefault="006F2F35" w:rsidP="006F2F35">
      <w:pPr>
        <w:autoSpaceDE w:val="0"/>
        <w:autoSpaceDN w:val="0"/>
        <w:adjustRightInd w:val="0"/>
        <w:jc w:val="center"/>
        <w:rPr>
          <w:b/>
          <w:sz w:val="20"/>
        </w:rPr>
      </w:pPr>
      <w:r w:rsidRPr="00A05EA8">
        <w:rPr>
          <w:rFonts w:cs="Tahoma"/>
          <w:b/>
          <w:sz w:val="20"/>
        </w:rPr>
        <w:t>*</w:t>
      </w:r>
      <w:r w:rsidRPr="0090795D">
        <w:rPr>
          <w:b/>
          <w:sz w:val="20"/>
        </w:rPr>
        <w:t xml:space="preserve">The impact of the risk will never change, but the probability of the risk occurring can change in a </w:t>
      </w:r>
    </w:p>
    <w:p w:rsidR="006F2F35" w:rsidRDefault="006F2F35" w:rsidP="006F2F35">
      <w:pPr>
        <w:autoSpaceDE w:val="0"/>
        <w:autoSpaceDN w:val="0"/>
        <w:adjustRightInd w:val="0"/>
        <w:jc w:val="center"/>
        <w:rPr>
          <w:b/>
          <w:sz w:val="20"/>
        </w:rPr>
      </w:pPr>
      <w:r w:rsidRPr="0090795D">
        <w:rPr>
          <w:b/>
          <w:sz w:val="20"/>
        </w:rPr>
        <w:t>given period*</w:t>
      </w:r>
    </w:p>
    <w:p w:rsidR="006F2F35" w:rsidRDefault="006F2F35" w:rsidP="006F2F35">
      <w:pPr>
        <w:autoSpaceDE w:val="0"/>
        <w:autoSpaceDN w:val="0"/>
        <w:adjustRightInd w:val="0"/>
        <w:jc w:val="center"/>
        <w:rPr>
          <w:b/>
          <w:sz w:val="20"/>
        </w:rPr>
      </w:pPr>
    </w:p>
    <w:p w:rsidR="006F2F35" w:rsidRPr="0090795D" w:rsidRDefault="006F2F35" w:rsidP="006F2F35">
      <w:pPr>
        <w:autoSpaceDE w:val="0"/>
        <w:autoSpaceDN w:val="0"/>
        <w:adjustRightInd w:val="0"/>
        <w:jc w:val="center"/>
        <w:rPr>
          <w:b/>
          <w:sz w:val="20"/>
        </w:rPr>
      </w:pPr>
    </w:p>
    <w:p w:rsidR="006F2F35" w:rsidRDefault="006F2F35" w:rsidP="006F2F35">
      <w:r>
        <w:rPr>
          <w:noProof/>
        </w:rPr>
        <w:pict>
          <v:shape id="_x0000_s1043" type="#_x0000_t202" style="position:absolute;margin-left:189pt;margin-top:23.55pt;width:150.2pt;height:39.8pt;z-index:251665408;mso-width-relative:margin;mso-height-relative:margin" strokeweight="1.75pt">
            <v:textbox style="mso-next-textbox:#_x0000_s1043">
              <w:txbxContent>
                <w:p w:rsidR="006F2F35" w:rsidRPr="006F6861" w:rsidRDefault="006F2F35" w:rsidP="006F2F35">
                  <w:pPr>
                    <w:jc w:val="center"/>
                    <w:rPr>
                      <w:b/>
                      <w:szCs w:val="24"/>
                    </w:rPr>
                  </w:pPr>
                  <w:r w:rsidRPr="006F6861">
                    <w:rPr>
                      <w:b/>
                      <w:szCs w:val="24"/>
                    </w:rPr>
                    <w:t>Risk Probability Color Key</w:t>
                  </w:r>
                </w:p>
              </w:txbxContent>
            </v:textbox>
          </v:shape>
        </w:pict>
      </w:r>
    </w:p>
    <w:p w:rsidR="006F2F35" w:rsidRDefault="006F2F35" w:rsidP="006F2F35"/>
    <w:p w:rsidR="006F2F35" w:rsidRDefault="006F2F35" w:rsidP="006F2F35">
      <w:pPr>
        <w:jc w:val="center"/>
      </w:pPr>
    </w:p>
    <w:p w:rsidR="006F2F35" w:rsidRDefault="006F2F35" w:rsidP="006F2F35"/>
    <w:p w:rsidR="006F2F35" w:rsidRDefault="006F2F35" w:rsidP="006F2F35"/>
    <w:p w:rsidR="006F2F35" w:rsidRDefault="006F2F35" w:rsidP="006F2F35"/>
    <w:p w:rsidR="006F2F35" w:rsidRDefault="006F2F35" w:rsidP="006F2F35">
      <w:r>
        <w:rPr>
          <w:noProof/>
        </w:rPr>
        <w:pict>
          <v:oval id="_x0000_s1038" style="position:absolute;margin-left:6.75pt;margin-top:83.8pt;width:73.5pt;height:59.25pt;z-index:251660288" fillcolor="#ffc000" strokecolor="#ffc000"/>
        </w:pict>
      </w:r>
      <w:r>
        <w:rPr>
          <w:noProof/>
        </w:rPr>
        <w:pict>
          <v:oval id="_x0000_s1039" style="position:absolute;margin-left:10.5pt;margin-top:163.3pt;width:73.5pt;height:60pt;z-index:251661312" fillcolor="red" strokecolor="red"/>
        </w:pict>
      </w:r>
      <w:r>
        <w:rPr>
          <w:noProof/>
        </w:rPr>
        <w:pict>
          <v:oval id="_x0000_s1037" style="position:absolute;margin-left:10.5pt;margin-top:4.3pt;width:69.75pt;height:57pt;z-index:251659264" fillcolor="#00b050" strokecolor="#00b050"/>
        </w:pict>
      </w:r>
      <w:r>
        <w:rPr>
          <w:noProof/>
          <w:lang w:eastAsia="zh-TW"/>
        </w:rPr>
        <w:pict>
          <v:shape id="_x0000_s1040" type="#_x0000_t202" style="position:absolute;margin-left:122.05pt;margin-top:18.95pt;width:293.45pt;height:28.85pt;z-index:251662336;mso-width-relative:margin;mso-height-relative:margin" strokecolor="#00b050">
            <v:textbox style="mso-next-textbox:#_x0000_s1040">
              <w:txbxContent>
                <w:p w:rsidR="006F2F35" w:rsidRPr="006F6861" w:rsidRDefault="006F2F35" w:rsidP="006F2F35">
                  <w:pPr>
                    <w:rPr>
                      <w:color w:val="00B050"/>
                      <w:szCs w:val="24"/>
                    </w:rPr>
                  </w:pPr>
                  <w:r w:rsidRPr="006F6861">
                    <w:rPr>
                      <w:color w:val="00B050"/>
                      <w:szCs w:val="24"/>
                    </w:rPr>
                    <w:t>The relative likelihood that the risk will occur is low.</w:t>
                  </w:r>
                </w:p>
              </w:txbxContent>
            </v:textbox>
          </v:shape>
        </w:pict>
      </w:r>
    </w:p>
    <w:p w:rsidR="006F2F35" w:rsidRDefault="006F2F35" w:rsidP="006F2F35"/>
    <w:p w:rsidR="006F2F35" w:rsidRPr="0090795D" w:rsidRDefault="006F2F35" w:rsidP="006F2F35">
      <w:pPr>
        <w:rPr>
          <w:szCs w:val="24"/>
        </w:rPr>
      </w:pPr>
      <w:r>
        <w:rPr>
          <w:noProof/>
        </w:rPr>
        <w:pict>
          <v:shape id="_x0000_s1042" type="#_x0000_t202" style="position:absolute;margin-left:122.05pt;margin-top:123.15pt;width:293.45pt;height:39.25pt;z-index:251664384;mso-width-relative:margin;mso-height-relative:margin" strokecolor="red">
            <v:textbox style="mso-next-textbox:#_x0000_s1042">
              <w:txbxContent>
                <w:p w:rsidR="006F2F35" w:rsidRPr="006F6861" w:rsidRDefault="006F2F35" w:rsidP="006F2F35">
                  <w:pPr>
                    <w:rPr>
                      <w:color w:val="FF0000"/>
                      <w:szCs w:val="24"/>
                    </w:rPr>
                  </w:pPr>
                  <w:r w:rsidRPr="006F6861">
                    <w:rPr>
                      <w:color w:val="FF0000"/>
                      <w:szCs w:val="24"/>
                    </w:rPr>
                    <w:t>The relative likelihood that the risk will occur is high.  The risk is imminent.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25.8pt;margin-top:36.4pt;width:293.45pt;height:36pt;z-index:251663360;mso-width-relative:margin;mso-height-relative:margin" strokecolor="#ffc000">
            <v:textbox style="mso-next-textbox:#_x0000_s1041">
              <w:txbxContent>
                <w:p w:rsidR="006F2F35" w:rsidRPr="006F6861" w:rsidRDefault="006F2F35" w:rsidP="006F2F35">
                  <w:pPr>
                    <w:rPr>
                      <w:color w:val="FFC000"/>
                      <w:szCs w:val="24"/>
                    </w:rPr>
                  </w:pPr>
                  <w:r w:rsidRPr="006F6861">
                    <w:rPr>
                      <w:color w:val="FFC000"/>
                      <w:szCs w:val="24"/>
                    </w:rPr>
                    <w:t>The relative likelihood that the risk will occur is medium.  Proceed cautiously.</w:t>
                  </w:r>
                </w:p>
              </w:txbxContent>
            </v:textbox>
          </v:shape>
        </w:pict>
      </w:r>
    </w:p>
    <w:p w:rsidR="006F2F35" w:rsidRDefault="006F2F35" w:rsidP="006F2F35"/>
    <w:p w:rsidR="006F2F35" w:rsidRDefault="006F2F35" w:rsidP="006F2F35">
      <w:r>
        <w:t xml:space="preserve"> </w:t>
      </w:r>
    </w:p>
    <w:p w:rsidR="006F2F35" w:rsidRDefault="006F2F35" w:rsidP="006F2F35"/>
    <w:p w:rsidR="006F2F35" w:rsidRDefault="006F2F35" w:rsidP="006F2F35"/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 w:rsidP="00FE40EA">
      <w:pPr>
        <w:autoSpaceDE w:val="0"/>
        <w:autoSpaceDN w:val="0"/>
        <w:adjustRightInd w:val="0"/>
        <w:jc w:val="center"/>
        <w:rPr>
          <w:rFonts w:cs="Tahoma"/>
          <w:b/>
          <w:noProof/>
          <w:szCs w:val="24"/>
        </w:rPr>
      </w:pPr>
    </w:p>
    <w:p w:rsidR="00FE40EA" w:rsidRDefault="00FE40EA"/>
    <w:sectPr w:rsidR="00FE40EA" w:rsidSect="00FE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017D"/>
    <w:multiLevelType w:val="hybridMultilevel"/>
    <w:tmpl w:val="6980A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40EA"/>
    <w:rsid w:val="000120B9"/>
    <w:rsid w:val="000678F1"/>
    <w:rsid w:val="00077069"/>
    <w:rsid w:val="000772CF"/>
    <w:rsid w:val="000F13B3"/>
    <w:rsid w:val="0013469E"/>
    <w:rsid w:val="001B7918"/>
    <w:rsid w:val="0023262A"/>
    <w:rsid w:val="00283327"/>
    <w:rsid w:val="002A2EEE"/>
    <w:rsid w:val="004540F0"/>
    <w:rsid w:val="00513EB0"/>
    <w:rsid w:val="005614DB"/>
    <w:rsid w:val="00623DFD"/>
    <w:rsid w:val="006829A8"/>
    <w:rsid w:val="006F2F35"/>
    <w:rsid w:val="00705890"/>
    <w:rsid w:val="00786904"/>
    <w:rsid w:val="007B3339"/>
    <w:rsid w:val="0083288A"/>
    <w:rsid w:val="0085684E"/>
    <w:rsid w:val="00880594"/>
    <w:rsid w:val="008C415B"/>
    <w:rsid w:val="008D635B"/>
    <w:rsid w:val="009B56ED"/>
    <w:rsid w:val="009B690F"/>
    <w:rsid w:val="00A3451E"/>
    <w:rsid w:val="00AC19E6"/>
    <w:rsid w:val="00AD7BC1"/>
    <w:rsid w:val="00AE1D85"/>
    <w:rsid w:val="00AF09A9"/>
    <w:rsid w:val="00B4320C"/>
    <w:rsid w:val="00B70209"/>
    <w:rsid w:val="00B74206"/>
    <w:rsid w:val="00BE28E0"/>
    <w:rsid w:val="00BE4BD2"/>
    <w:rsid w:val="00C270D0"/>
    <w:rsid w:val="00D007A3"/>
    <w:rsid w:val="00D05B7C"/>
    <w:rsid w:val="00D209DB"/>
    <w:rsid w:val="00D503C1"/>
    <w:rsid w:val="00D7267B"/>
    <w:rsid w:val="00DB2F12"/>
    <w:rsid w:val="00DF639B"/>
    <w:rsid w:val="00F15206"/>
    <w:rsid w:val="00F70894"/>
    <w:rsid w:val="00F7650E"/>
    <w:rsid w:val="00FB43F1"/>
    <w:rsid w:val="00FE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EA"/>
    <w:pPr>
      <w:widowControl w:val="0"/>
    </w:pPr>
    <w:rPr>
      <w:rFonts w:ascii="Times New Roman" w:eastAsia="SimSu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spacing0">
    <w:name w:val="msonospacing"/>
    <w:rsid w:val="00FE40EA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05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89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890"/>
    <w:rPr>
      <w:rFonts w:ascii="Times New Roman" w:eastAsia="SimSu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8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90"/>
    <w:rPr>
      <w:rFonts w:ascii="Tahoma" w:eastAsia="SimSu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74206"/>
    <w:rPr>
      <w:rFonts w:ascii="Times New Roman" w:eastAsia="SimSu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0ABF58-0D87-4E5A-8127-A72A71C2E324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AA48101D-5A69-4126-BBED-263904997B6B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en-US" sz="1200" b="1">
              <a:solidFill>
                <a:schemeClr val="accent6">
                  <a:lumMod val="50000"/>
                </a:schemeClr>
              </a:solidFill>
            </a:rPr>
            <a:t>Very High</a:t>
          </a:r>
        </a:p>
      </dgm:t>
    </dgm:pt>
    <dgm:pt modelId="{C14693F9-25AC-4F7E-8D85-972AEC815F36}" type="parTrans" cxnId="{DE9C553B-90C0-4228-AEC3-B569BE65A70B}">
      <dgm:prSet/>
      <dgm:spPr/>
      <dgm:t>
        <a:bodyPr/>
        <a:lstStyle/>
        <a:p>
          <a:endParaRPr lang="en-US"/>
        </a:p>
      </dgm:t>
    </dgm:pt>
    <dgm:pt modelId="{F607A00A-3F0E-4337-9A2C-E884D16061B6}" type="sibTrans" cxnId="{DE9C553B-90C0-4228-AEC3-B569BE65A70B}">
      <dgm:prSet/>
      <dgm:spPr/>
      <dgm:t>
        <a:bodyPr/>
        <a:lstStyle/>
        <a:p>
          <a:endParaRPr lang="en-US"/>
        </a:p>
      </dgm:t>
    </dgm:pt>
    <dgm:pt modelId="{0FA605FB-2041-4DE6-9799-3B3722B53145}">
      <dgm:prSet phldrT="[Text]" custT="1"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 sz="1200" b="1">
              <a:solidFill>
                <a:schemeClr val="accent6">
                  <a:lumMod val="75000"/>
                </a:schemeClr>
              </a:solidFill>
            </a:rPr>
            <a:t>High</a:t>
          </a:r>
        </a:p>
      </dgm:t>
    </dgm:pt>
    <dgm:pt modelId="{060A2E7D-A4C7-4BB9-9CF6-1E0E305AF138}" type="parTrans" cxnId="{A6B87E3D-63AB-4ED3-B3F4-71C853B4AE55}">
      <dgm:prSet/>
      <dgm:spPr/>
      <dgm:t>
        <a:bodyPr/>
        <a:lstStyle/>
        <a:p>
          <a:endParaRPr lang="en-US"/>
        </a:p>
      </dgm:t>
    </dgm:pt>
    <dgm:pt modelId="{7D6AB4BB-583E-47A1-8CA0-CC89D14433DE}" type="sibTrans" cxnId="{A6B87E3D-63AB-4ED3-B3F4-71C853B4AE55}">
      <dgm:prSet/>
      <dgm:spPr/>
      <dgm:t>
        <a:bodyPr/>
        <a:lstStyle/>
        <a:p>
          <a:endParaRPr lang="en-US"/>
        </a:p>
      </dgm:t>
    </dgm:pt>
    <dgm:pt modelId="{209A988B-EF55-46B3-B7DF-61C6F714038C}">
      <dgm:prSet phldrT="[Text]" custT="1"/>
      <dgm:spPr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200" b="1">
              <a:solidFill>
                <a:schemeClr val="accent6">
                  <a:lumMod val="60000"/>
                  <a:lumOff val="40000"/>
                </a:schemeClr>
              </a:solidFill>
            </a:rPr>
            <a:t>Medium</a:t>
          </a:r>
        </a:p>
      </dgm:t>
    </dgm:pt>
    <dgm:pt modelId="{6F20CEDC-86FB-4F01-850D-15C13013CE4E}" type="parTrans" cxnId="{6CD6FBB5-B974-4121-8DB4-53A0FB2918D5}">
      <dgm:prSet/>
      <dgm:spPr/>
      <dgm:t>
        <a:bodyPr/>
        <a:lstStyle/>
        <a:p>
          <a:endParaRPr lang="en-US"/>
        </a:p>
      </dgm:t>
    </dgm:pt>
    <dgm:pt modelId="{955E099C-9548-42B2-A22D-445BD57C3FB6}" type="sibTrans" cxnId="{6CD6FBB5-B974-4121-8DB4-53A0FB2918D5}">
      <dgm:prSet/>
      <dgm:spPr/>
      <dgm:t>
        <a:bodyPr/>
        <a:lstStyle/>
        <a:p>
          <a:endParaRPr lang="en-US"/>
        </a:p>
      </dgm:t>
    </dgm:pt>
    <dgm:pt modelId="{4C453B86-1146-4E89-8CBA-CA83E5C990CE}">
      <dgm:prSet custT="1"/>
      <dgm:spPr>
        <a:ln>
          <a:solidFill>
            <a:schemeClr val="accent6">
              <a:lumMod val="40000"/>
              <a:lumOff val="60000"/>
            </a:schemeClr>
          </a:solidFill>
        </a:ln>
      </dgm:spPr>
      <dgm:t>
        <a:bodyPr/>
        <a:lstStyle/>
        <a:p>
          <a:r>
            <a:rPr lang="en-US" sz="1200" b="1">
              <a:solidFill>
                <a:schemeClr val="accent6">
                  <a:lumMod val="40000"/>
                  <a:lumOff val="60000"/>
                </a:schemeClr>
              </a:solidFill>
            </a:rPr>
            <a:t>Low</a:t>
          </a:r>
        </a:p>
      </dgm:t>
    </dgm:pt>
    <dgm:pt modelId="{2E73BB10-40C2-451F-939A-A3CCC5F3AFB2}" type="parTrans" cxnId="{94D61C1C-FF3B-4116-AEB9-852F73EE7787}">
      <dgm:prSet/>
      <dgm:spPr/>
      <dgm:t>
        <a:bodyPr/>
        <a:lstStyle/>
        <a:p>
          <a:endParaRPr lang="en-US"/>
        </a:p>
      </dgm:t>
    </dgm:pt>
    <dgm:pt modelId="{DED4925A-630C-4184-B4A3-9D3A608481EA}" type="sibTrans" cxnId="{94D61C1C-FF3B-4116-AEB9-852F73EE7787}">
      <dgm:prSet/>
      <dgm:spPr/>
      <dgm:t>
        <a:bodyPr/>
        <a:lstStyle/>
        <a:p>
          <a:endParaRPr lang="en-US"/>
        </a:p>
      </dgm:t>
    </dgm:pt>
    <dgm:pt modelId="{E8CB415B-FEE2-4F17-9505-BAEAA84A1E88}" type="pres">
      <dgm:prSet presAssocID="{5E0ABF58-0D87-4E5A-8127-A72A71C2E324}" presName="compositeShape" presStyleCnt="0">
        <dgm:presLayoutVars>
          <dgm:dir/>
          <dgm:resizeHandles/>
        </dgm:presLayoutVars>
      </dgm:prSet>
      <dgm:spPr/>
    </dgm:pt>
    <dgm:pt modelId="{C75A13AF-1491-4AA2-A7C7-2EE08E32F539}" type="pres">
      <dgm:prSet presAssocID="{5E0ABF58-0D87-4E5A-8127-A72A71C2E324}" presName="pyramid" presStyleLbl="node1" presStyleIdx="0" presStyleCnt="1"/>
      <dgm:spPr>
        <a:solidFill>
          <a:schemeClr val="accent6">
            <a:lumMod val="20000"/>
            <a:lumOff val="80000"/>
          </a:schemeClr>
        </a:solidFill>
      </dgm:spPr>
    </dgm:pt>
    <dgm:pt modelId="{FAE8ED1C-CC97-4407-9968-447AF1132D6F}" type="pres">
      <dgm:prSet presAssocID="{5E0ABF58-0D87-4E5A-8127-A72A71C2E324}" presName="theList" presStyleCnt="0"/>
      <dgm:spPr/>
    </dgm:pt>
    <dgm:pt modelId="{3452481E-AAB2-4CD9-BCC4-7560434FDC83}" type="pres">
      <dgm:prSet presAssocID="{AA48101D-5A69-4126-BBED-263904997B6B}" presName="aNode" presStyleLbl="fgAcc1" presStyleIdx="0" presStyleCnt="4" custScaleY="619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47D9E-343C-48EF-8650-8BD962E8BBB3}" type="pres">
      <dgm:prSet presAssocID="{AA48101D-5A69-4126-BBED-263904997B6B}" presName="aSpace" presStyleCnt="0"/>
      <dgm:spPr/>
    </dgm:pt>
    <dgm:pt modelId="{AE320FBF-7BAF-44B5-A59B-31D2E4D92BBB}" type="pres">
      <dgm:prSet presAssocID="{0FA605FB-2041-4DE6-9799-3B3722B53145}" presName="aNode" presStyleLbl="fgAcc1" presStyleIdx="1" presStyleCnt="4" custScaleY="679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1B98CC-42BC-47D0-909F-BB42DF557A14}" type="pres">
      <dgm:prSet presAssocID="{0FA605FB-2041-4DE6-9799-3B3722B53145}" presName="aSpace" presStyleCnt="0"/>
      <dgm:spPr/>
    </dgm:pt>
    <dgm:pt modelId="{540EBF6A-D2E0-43A0-A325-97998D476155}" type="pres">
      <dgm:prSet presAssocID="{209A988B-EF55-46B3-B7DF-61C6F714038C}" presName="aNode" presStyleLbl="fgAcc1" presStyleIdx="2" presStyleCnt="4" custScaleY="746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B288EE-C63E-4FF9-8C76-9FBA40BAD9A7}" type="pres">
      <dgm:prSet presAssocID="{209A988B-EF55-46B3-B7DF-61C6F714038C}" presName="aSpace" presStyleCnt="0"/>
      <dgm:spPr/>
    </dgm:pt>
    <dgm:pt modelId="{32459F88-445A-422E-820C-1863D13D7C31}" type="pres">
      <dgm:prSet presAssocID="{4C453B86-1146-4E89-8CBA-CA83E5C990CE}" presName="aNode" presStyleLbl="fgAcc1" presStyleIdx="3" presStyleCnt="4" custScaleY="741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DBF7B4-76D2-4C5C-A2E6-47E1C3D43131}" type="pres">
      <dgm:prSet presAssocID="{4C453B86-1146-4E89-8CBA-CA83E5C990CE}" presName="aSpace" presStyleCnt="0"/>
      <dgm:spPr/>
    </dgm:pt>
  </dgm:ptLst>
  <dgm:cxnLst>
    <dgm:cxn modelId="{6CD6FBB5-B974-4121-8DB4-53A0FB2918D5}" srcId="{5E0ABF58-0D87-4E5A-8127-A72A71C2E324}" destId="{209A988B-EF55-46B3-B7DF-61C6F714038C}" srcOrd="2" destOrd="0" parTransId="{6F20CEDC-86FB-4F01-850D-15C13013CE4E}" sibTransId="{955E099C-9548-42B2-A22D-445BD57C3FB6}"/>
    <dgm:cxn modelId="{DE9C553B-90C0-4228-AEC3-B569BE65A70B}" srcId="{5E0ABF58-0D87-4E5A-8127-A72A71C2E324}" destId="{AA48101D-5A69-4126-BBED-263904997B6B}" srcOrd="0" destOrd="0" parTransId="{C14693F9-25AC-4F7E-8D85-972AEC815F36}" sibTransId="{F607A00A-3F0E-4337-9A2C-E884D16061B6}"/>
    <dgm:cxn modelId="{87202C98-0D4A-4ECE-A7EF-AF895C0E494F}" type="presOf" srcId="{AA48101D-5A69-4126-BBED-263904997B6B}" destId="{3452481E-AAB2-4CD9-BCC4-7560434FDC83}" srcOrd="0" destOrd="0" presId="urn:microsoft.com/office/officeart/2005/8/layout/pyramid2"/>
    <dgm:cxn modelId="{7038BE60-E5E3-4C36-BF56-2613BA0F574E}" type="presOf" srcId="{209A988B-EF55-46B3-B7DF-61C6F714038C}" destId="{540EBF6A-D2E0-43A0-A325-97998D476155}" srcOrd="0" destOrd="0" presId="urn:microsoft.com/office/officeart/2005/8/layout/pyramid2"/>
    <dgm:cxn modelId="{94D61C1C-FF3B-4116-AEB9-852F73EE7787}" srcId="{5E0ABF58-0D87-4E5A-8127-A72A71C2E324}" destId="{4C453B86-1146-4E89-8CBA-CA83E5C990CE}" srcOrd="3" destOrd="0" parTransId="{2E73BB10-40C2-451F-939A-A3CCC5F3AFB2}" sibTransId="{DED4925A-630C-4184-B4A3-9D3A608481EA}"/>
    <dgm:cxn modelId="{056AF498-8A37-4F55-90F1-82938C2A1F89}" type="presOf" srcId="{0FA605FB-2041-4DE6-9799-3B3722B53145}" destId="{AE320FBF-7BAF-44B5-A59B-31D2E4D92BBB}" srcOrd="0" destOrd="0" presId="urn:microsoft.com/office/officeart/2005/8/layout/pyramid2"/>
    <dgm:cxn modelId="{B484206C-EC38-4C9B-838D-1679605DF512}" type="presOf" srcId="{4C453B86-1146-4E89-8CBA-CA83E5C990CE}" destId="{32459F88-445A-422E-820C-1863D13D7C31}" srcOrd="0" destOrd="0" presId="urn:microsoft.com/office/officeart/2005/8/layout/pyramid2"/>
    <dgm:cxn modelId="{18098B8B-CDAE-41FF-97AC-23E93B92C727}" type="presOf" srcId="{5E0ABF58-0D87-4E5A-8127-A72A71C2E324}" destId="{E8CB415B-FEE2-4F17-9505-BAEAA84A1E88}" srcOrd="0" destOrd="0" presId="urn:microsoft.com/office/officeart/2005/8/layout/pyramid2"/>
    <dgm:cxn modelId="{A6B87E3D-63AB-4ED3-B3F4-71C853B4AE55}" srcId="{5E0ABF58-0D87-4E5A-8127-A72A71C2E324}" destId="{0FA605FB-2041-4DE6-9799-3B3722B53145}" srcOrd="1" destOrd="0" parTransId="{060A2E7D-A4C7-4BB9-9CF6-1E0E305AF138}" sibTransId="{7D6AB4BB-583E-47A1-8CA0-CC89D14433DE}"/>
    <dgm:cxn modelId="{5DC1D57F-CD4E-4779-93B1-35094D7432E3}" type="presParOf" srcId="{E8CB415B-FEE2-4F17-9505-BAEAA84A1E88}" destId="{C75A13AF-1491-4AA2-A7C7-2EE08E32F539}" srcOrd="0" destOrd="0" presId="urn:microsoft.com/office/officeart/2005/8/layout/pyramid2"/>
    <dgm:cxn modelId="{B0168A99-A568-49E3-8567-130F31679CCE}" type="presParOf" srcId="{E8CB415B-FEE2-4F17-9505-BAEAA84A1E88}" destId="{FAE8ED1C-CC97-4407-9968-447AF1132D6F}" srcOrd="1" destOrd="0" presId="urn:microsoft.com/office/officeart/2005/8/layout/pyramid2"/>
    <dgm:cxn modelId="{247D832A-6CB2-4F80-BF03-48CDCE5469B1}" type="presParOf" srcId="{FAE8ED1C-CC97-4407-9968-447AF1132D6F}" destId="{3452481E-AAB2-4CD9-BCC4-7560434FDC83}" srcOrd="0" destOrd="0" presId="urn:microsoft.com/office/officeart/2005/8/layout/pyramid2"/>
    <dgm:cxn modelId="{9FA5691C-3EEB-410C-AB48-4E67B975C54D}" type="presParOf" srcId="{FAE8ED1C-CC97-4407-9968-447AF1132D6F}" destId="{1E947D9E-343C-48EF-8650-8BD962E8BBB3}" srcOrd="1" destOrd="0" presId="urn:microsoft.com/office/officeart/2005/8/layout/pyramid2"/>
    <dgm:cxn modelId="{54637FB1-45CB-4DBD-8EBF-147A96BF0ED2}" type="presParOf" srcId="{FAE8ED1C-CC97-4407-9968-447AF1132D6F}" destId="{AE320FBF-7BAF-44B5-A59B-31D2E4D92BBB}" srcOrd="2" destOrd="0" presId="urn:microsoft.com/office/officeart/2005/8/layout/pyramid2"/>
    <dgm:cxn modelId="{947CA179-5A42-495A-87BF-43C4DCDB361B}" type="presParOf" srcId="{FAE8ED1C-CC97-4407-9968-447AF1132D6F}" destId="{2D1B98CC-42BC-47D0-909F-BB42DF557A14}" srcOrd="3" destOrd="0" presId="urn:microsoft.com/office/officeart/2005/8/layout/pyramid2"/>
    <dgm:cxn modelId="{99257B69-9046-4638-940D-2F13170D30FD}" type="presParOf" srcId="{FAE8ED1C-CC97-4407-9968-447AF1132D6F}" destId="{540EBF6A-D2E0-43A0-A325-97998D476155}" srcOrd="4" destOrd="0" presId="urn:microsoft.com/office/officeart/2005/8/layout/pyramid2"/>
    <dgm:cxn modelId="{7238BA63-52AC-4807-9105-CC7072861254}" type="presParOf" srcId="{FAE8ED1C-CC97-4407-9968-447AF1132D6F}" destId="{A7B288EE-C63E-4FF9-8C76-9FBA40BAD9A7}" srcOrd="5" destOrd="0" presId="urn:microsoft.com/office/officeart/2005/8/layout/pyramid2"/>
    <dgm:cxn modelId="{46ED30F7-D433-4A96-A868-F370093D994E}" type="presParOf" srcId="{FAE8ED1C-CC97-4407-9968-447AF1132D6F}" destId="{32459F88-445A-422E-820C-1863D13D7C31}" srcOrd="6" destOrd="0" presId="urn:microsoft.com/office/officeart/2005/8/layout/pyramid2"/>
    <dgm:cxn modelId="{ED326B83-31FD-4233-8E44-3BA687116CCA}" type="presParOf" srcId="{FAE8ED1C-CC97-4407-9968-447AF1132D6F}" destId="{EFDBF7B4-76D2-4C5C-A2E6-47E1C3D43131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75A13AF-1491-4AA2-A7C7-2EE08E32F539}">
      <dsp:nvSpPr>
        <dsp:cNvPr id="0" name=""/>
        <dsp:cNvSpPr/>
      </dsp:nvSpPr>
      <dsp:spPr>
        <a:xfrm>
          <a:off x="903397" y="0"/>
          <a:ext cx="3199657" cy="3199657"/>
        </a:xfrm>
        <a:prstGeom prst="triangle">
          <a:avLst/>
        </a:prstGeom>
        <a:solidFill>
          <a:schemeClr val="accent6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2481E-AAB2-4CD9-BCC4-7560434FDC83}">
      <dsp:nvSpPr>
        <dsp:cNvPr id="0" name=""/>
        <dsp:cNvSpPr/>
      </dsp:nvSpPr>
      <dsp:spPr>
        <a:xfrm>
          <a:off x="2503225" y="320066"/>
          <a:ext cx="2079777" cy="48264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accent6">
                  <a:lumMod val="50000"/>
                </a:schemeClr>
              </a:solidFill>
            </a:rPr>
            <a:t>Very High</a:t>
          </a:r>
        </a:p>
      </dsp:txBody>
      <dsp:txXfrm>
        <a:off x="2503225" y="320066"/>
        <a:ext cx="2079777" cy="482648"/>
      </dsp:txXfrm>
    </dsp:sp>
    <dsp:sp modelId="{AE320FBF-7BAF-44B5-A59B-31D2E4D92BBB}">
      <dsp:nvSpPr>
        <dsp:cNvPr id="0" name=""/>
        <dsp:cNvSpPr/>
      </dsp:nvSpPr>
      <dsp:spPr>
        <a:xfrm>
          <a:off x="2503225" y="900048"/>
          <a:ext cx="2079777" cy="52925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accent6">
                  <a:lumMod val="75000"/>
                </a:schemeClr>
              </a:solidFill>
            </a:rPr>
            <a:t>High</a:t>
          </a:r>
        </a:p>
      </dsp:txBody>
      <dsp:txXfrm>
        <a:off x="2503225" y="900048"/>
        <a:ext cx="2079777" cy="529259"/>
      </dsp:txXfrm>
    </dsp:sp>
    <dsp:sp modelId="{540EBF6A-D2E0-43A0-A325-97998D476155}">
      <dsp:nvSpPr>
        <dsp:cNvPr id="0" name=""/>
        <dsp:cNvSpPr/>
      </dsp:nvSpPr>
      <dsp:spPr>
        <a:xfrm>
          <a:off x="2503225" y="1526641"/>
          <a:ext cx="2079777" cy="5812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accent6">
                  <a:lumMod val="60000"/>
                  <a:lumOff val="40000"/>
                </a:schemeClr>
              </a:solidFill>
            </a:rPr>
            <a:t>Medium</a:t>
          </a:r>
        </a:p>
      </dsp:txBody>
      <dsp:txXfrm>
        <a:off x="2503225" y="1526641"/>
        <a:ext cx="2079777" cy="581266"/>
      </dsp:txXfrm>
    </dsp:sp>
    <dsp:sp modelId="{32459F88-445A-422E-820C-1863D13D7C31}">
      <dsp:nvSpPr>
        <dsp:cNvPr id="0" name=""/>
        <dsp:cNvSpPr/>
      </dsp:nvSpPr>
      <dsp:spPr>
        <a:xfrm>
          <a:off x="2503225" y="2205241"/>
          <a:ext cx="2079777" cy="57701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40000"/>
              <a:lumOff val="6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accent6">
                  <a:lumMod val="40000"/>
                  <a:lumOff val="60000"/>
                </a:schemeClr>
              </a:solidFill>
            </a:rPr>
            <a:t>Low</a:t>
          </a:r>
        </a:p>
      </dsp:txBody>
      <dsp:txXfrm>
        <a:off x="2503225" y="2205241"/>
        <a:ext cx="2079777" cy="577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Table</vt:lpstr>
    </vt:vector>
  </TitlesOfParts>
  <Company>WVU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Table</dc:title>
  <dc:creator>WVU</dc:creator>
  <cp:lastModifiedBy>Kerm</cp:lastModifiedBy>
  <cp:revision>2</cp:revision>
  <dcterms:created xsi:type="dcterms:W3CDTF">2010-03-04T18:01:00Z</dcterms:created>
  <dcterms:modified xsi:type="dcterms:W3CDTF">2010-03-04T18:01:00Z</dcterms:modified>
</cp:coreProperties>
</file>