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Project description for DST application</w:t>
      </w:r>
    </w:p>
    <w:p>
      <w:pPr>
        <w:pStyle w:val="Heading2"/>
        <w:rPr/>
      </w:pPr>
      <w:r>
        <w:rPr/>
        <w:t>Autoriseret institution / Authorised institution</w:t>
      </w:r>
    </w:p>
    <w:p>
      <w:pPr>
        <w:pStyle w:val="FirstParagraph"/>
        <w:rPr/>
      </w:pPr>
      <w:r>
        <w:rPr/>
        <w:t>Enhedschef Annelli Sandbæk</w:t>
        <w:br/>
        <w:t>Steno Diabetes Center Aarhus (inst. nr. 574)</w:t>
        <w:br/>
        <w:t>Hedeager 3, 2. sal</w:t>
        <w:br/>
        <w:t>8200 Aarhus</w:t>
        <w:br/>
        <w:t>Denmark</w:t>
      </w:r>
      <w:bookmarkStart w:id="0" w:name="X4bd5e4fca4c74720add6d40327bc857b62ca0b4"/>
      <w:bookmarkEnd w:id="0"/>
    </w:p>
    <w:p>
      <w:pPr>
        <w:pStyle w:val="Heading2"/>
        <w:rPr/>
      </w:pPr>
      <w:r>
        <w:rPr/>
        <w:t>Projekttitel / Project title</w:t>
      </w:r>
    </w:p>
    <w:p>
      <w:pPr>
        <w:pStyle w:val="FirstParagraph"/>
        <w:rPr/>
      </w:pPr>
      <w:r>
        <w:rPr/>
        <w:t>Interplay between diabetes and intergenerational transmission of health determinants over the life course</w:t>
      </w:r>
      <w:bookmarkStart w:id="1" w:name="projekttitel-project-title"/>
      <w:bookmarkEnd w:id="1"/>
    </w:p>
    <w:p>
      <w:pPr>
        <w:pStyle w:val="Heading2"/>
        <w:rPr/>
      </w:pPr>
      <w:r>
        <w:rPr/>
        <w:t>Projektbeskrivelse / Project description</w:t>
      </w:r>
    </w:p>
    <w:p>
      <w:pPr>
        <w:pStyle w:val="FirstParagraph"/>
        <w:rPr/>
      </w:pPr>
      <w:r>
        <w:rPr/>
        <w:t>The overall aim of this project is to identify the contributions of family and early life determinants on the development, management, and care of diabetes and the diseases that may arise following a diabetes diagnosis, under a life-course framework.</w:t>
      </w:r>
      <w:bookmarkStart w:id="2" w:name="projektbeskrivelse-project-description"/>
      <w:bookmarkEnd w:id="2"/>
    </w:p>
    <w:p>
      <w:pPr>
        <w:pStyle w:val="Heading2"/>
        <w:rPr/>
      </w:pPr>
      <w:r>
        <w:rPr/>
        <w:t>Population / Population</w:t>
      </w:r>
    </w:p>
    <w:p>
      <w:pPr>
        <w:pStyle w:val="FirstParagraph"/>
        <w:rPr/>
      </w:pPr>
      <w:r>
        <w:rPr/>
        <w:t>In order to identify familial relations through individuals’ life course trajectory, the population requested covers all individuals, who live or lived in Denmark from 1 January 1970 to 31 December 2020 (~8.5 million people). Key requirements are:</w:t>
      </w:r>
    </w:p>
    <w:p>
      <w:pPr>
        <w:pStyle w:val="Compact"/>
        <w:numPr>
          <w:ilvl w:val="0"/>
          <w:numId w:val="1"/>
        </w:numPr>
        <w:rPr/>
      </w:pPr>
      <w:r>
        <w:rPr/>
        <w:t>All index individuals born or who migrated into Denmark on or after 1970-01-01.</w:t>
      </w:r>
    </w:p>
    <w:p>
      <w:pPr>
        <w:pStyle w:val="Compact"/>
        <w:numPr>
          <w:ilvl w:val="0"/>
          <w:numId w:val="1"/>
        </w:numPr>
        <w:rPr/>
      </w:pPr>
      <w:r>
        <w:rPr/>
        <w:t>All family members of the index individuals, including parents, siblings, spouses, and children.</w:t>
      </w:r>
      <w:bookmarkStart w:id="3" w:name="population-population"/>
      <w:bookmarkEnd w:id="3"/>
    </w:p>
    <w:p>
      <w:pPr>
        <w:pStyle w:val="Heading2"/>
        <w:rPr/>
      </w:pPr>
      <w:r>
        <w:rPr/>
        <w:t>Variabelindhold / Variables included</w:t>
      </w:r>
    </w:p>
    <w:p>
      <w:pPr>
        <w:pStyle w:val="FirstParagraph"/>
        <w:rPr/>
      </w:pPr>
      <w:r>
        <w:rPr/>
        <w:t>All variables can be de-identified (direct identification is not needed). The list of requested variables is found in the tables at the end of the document in the Appendix. For all the variables, we need the data from the first year it is available to the most recent year it is available.</w:t>
      </w:r>
    </w:p>
    <w:p>
      <w:pPr>
        <w:pStyle w:val="TextBody"/>
        <w:rPr/>
      </w:pPr>
      <w:r>
        <w:rPr/>
        <w:t>Registers requested are:</w:t>
      </w:r>
    </w:p>
    <w:p>
      <w:pPr>
        <w:pStyle w:val="Compact"/>
        <w:numPr>
          <w:ilvl w:val="0"/>
          <w:numId w:val="7"/>
        </w:numPr>
        <w:rPr/>
      </w:pPr>
      <w:r>
        <w:rPr/>
        <w:t>AKM: Arbejdsklassifikationsmodulet / The work classification module</w:t>
      </w:r>
    </w:p>
    <w:p>
      <w:pPr>
        <w:pStyle w:val="Compact"/>
        <w:numPr>
          <w:ilvl w:val="0"/>
          <w:numId w:val="8"/>
        </w:numPr>
        <w:rPr/>
      </w:pPr>
      <w:r>
        <w:rPr/>
        <w:t>BEF: Befolkningen / The population</w:t>
      </w:r>
      <w:bookmarkStart w:id="4" w:name="variabelindhold-variables-included"/>
      <w:bookmarkEnd w:id="4"/>
    </w:p>
    <w:p>
      <w:pPr>
        <w:pStyle w:val="Heading2"/>
        <w:rPr/>
      </w:pPr>
      <w:r>
        <w:rPr/>
        <w:t>Særligt vedr. lægemiddelsdata / Especially regarding drug data</w:t>
      </w:r>
    </w:p>
    <w:p>
      <w:pPr>
        <w:pStyle w:val="FirstParagraph"/>
        <w:rPr/>
      </w:pPr>
      <w:r>
        <w:rPr/>
        <w:t>The medication data we are requested are used in order to identify cases of disease (e.g. diabetes) that might not have been diagnosed and recorded in the patient register. The list of requested ATC codes is found in the Appendix section.</w:t>
      </w:r>
      <w:bookmarkStart w:id="5" w:name="X664e8403f530b2fb69bae44a1f7d013d5ed2402"/>
      <w:bookmarkEnd w:id="5"/>
    </w:p>
    <w:p>
      <w:pPr>
        <w:pStyle w:val="Heading2"/>
        <w:rPr/>
      </w:pPr>
      <w:r>
        <w:rPr/>
        <w:t>Offentliggørelse af resultater / Publication of results</w:t>
      </w:r>
    </w:p>
    <w:p>
      <w:pPr>
        <w:pStyle w:val="FirstParagraph"/>
        <w:rPr/>
      </w:pPr>
      <w:r>
        <w:rPr/>
        <w:t>Results will be published in open access scientific outlets and presented at scientific conferences.</w:t>
      </w:r>
      <w:bookmarkStart w:id="6" w:name="Xd11c902252ac072c2d194877177aa2b8085df8e"/>
      <w:bookmarkEnd w:id="6"/>
    </w:p>
    <w:p>
      <w:pPr>
        <w:pStyle w:val="Heading2"/>
        <w:rPr/>
      </w:pPr>
      <w:r>
        <w:rPr/>
        <w:t>Perspektivering / Perspective</w:t>
      </w:r>
    </w:p>
    <w:p>
      <w:pPr>
        <w:pStyle w:val="FirstParagraph"/>
        <w:rPr/>
      </w:pPr>
      <w:r>
        <w:rPr/>
        <w:t>Understanding how early life and familial factors can influence diabetes provides us with tools and knowledge to better target, intervene, and either prevent or manage diabetes and its complications.</w:t>
      </w:r>
      <w:bookmarkStart w:id="7" w:name="perspektivering-perspective"/>
      <w:bookmarkEnd w:id="7"/>
    </w:p>
    <w:p>
      <w:pPr>
        <w:pStyle w:val="Heading2"/>
        <w:rPr/>
      </w:pPr>
      <w:r>
        <w:rPr/>
        <w:t>Data som ikke kommer fra Danmarks Statistik / Data that doesn’t come from DST</w:t>
      </w:r>
    </w:p>
    <w:p>
      <w:pPr>
        <w:pStyle w:val="FirstParagraph"/>
        <w:rPr/>
      </w:pPr>
      <w:r>
        <w:rPr/>
        <w:t>Data coming from other sources (e.g. Sundhedsdatastyrelsen):</w:t>
      </w:r>
    </w:p>
    <w:p>
      <w:pPr>
        <w:pStyle w:val="Compact"/>
        <w:numPr>
          <w:ilvl w:val="0"/>
          <w:numId w:val="9"/>
        </w:numPr>
        <w:rPr/>
      </w:pPr>
      <w:r>
        <w:rPr/>
        <w:t>Cancerregisteret: Cancerregisteret / Cancer Register</w:t>
      </w:r>
    </w:p>
    <w:p>
      <w:pPr>
        <w:pStyle w:val="Compact"/>
        <w:numPr>
          <w:ilvl w:val="0"/>
          <w:numId w:val="10"/>
        </w:numPr>
        <w:rPr/>
      </w:pPr>
      <w:r>
        <w:rPr/>
        <w:t>DBDD: Dansk Børne Diabetes Database / Danish Childrens Diabetes Database</w:t>
      </w:r>
      <w:bookmarkStart w:id="8" w:name="X2e31b47aba9c85d7e60a3bc42813758940c6dbe"/>
      <w:bookmarkEnd w:id="8"/>
    </w:p>
    <w:p>
      <w:pPr>
        <w:pStyle w:val="Heading2"/>
        <w:rPr/>
      </w:pPr>
      <w:r>
        <w:rPr/>
        <w:t>Projekts slutdato / Project’s end date</w:t>
      </w:r>
    </w:p>
    <w:p>
      <w:pPr>
        <w:pStyle w:val="FirstParagraph"/>
        <w:rPr/>
      </w:pPr>
      <w:r>
        <w:rPr/>
        <w:t>Date of deletion of data: Access to data is requested until 2030-12-31.</w:t>
      </w:r>
      <w:bookmarkStart w:id="9" w:name="projekts-slutdato-projects-end-date"/>
      <w:bookmarkEnd w:id="9"/>
    </w:p>
    <w:p>
      <w:pPr>
        <w:pStyle w:val="Heading2"/>
        <w:rPr/>
      </w:pPr>
      <w:r>
        <w:rPr/>
        <w:t>Autoriserede forskere / Authorised scientists</w:t>
      </w:r>
    </w:p>
    <w:tbl>
      <w:tblPr>
        <w:tblStyle w:val="Table"/>
        <w:tblW w:w="5000" w:type="pct"/>
        <w:jc w:val="left"/>
        <w:tblInd w:w="55" w:type="dxa"/>
        <w:tblCellMar>
          <w:top w:w="55" w:type="dxa"/>
          <w:left w:w="55" w:type="dxa"/>
          <w:bottom w:w="55" w:type="dxa"/>
          <w:right w:w="55" w:type="dxa"/>
        </w:tblCellMar>
        <w:tblLook w:val="0020" w:noHBand="0" w:noVBand="0" w:firstColumn="0" w:lastRow="0" w:lastColumn="0" w:firstRow="1"/>
      </w:tblPr>
      <w:tblGrid>
        <w:gridCol w:w="1119"/>
        <w:gridCol w:w="1451"/>
        <w:gridCol w:w="5278"/>
        <w:gridCol w:w="1451"/>
        <w:gridCol w:w="198"/>
        <w:gridCol w:w="392"/>
      </w:tblGrid>
      <w:tr>
        <w:trPr/>
        <w:tc>
          <w:tcPr>
            <w:tcW w:w="1119" w:type="dxa"/>
            <w:tcBorders>
              <w:top w:val="single" w:sz="4" w:space="0" w:color="000000"/>
              <w:left w:val="single" w:sz="4" w:space="0" w:color="000000"/>
              <w:bottom w:val="single" w:sz="4" w:space="0" w:color="000000"/>
            </w:tcBorders>
            <w:shd w:fill="D9D9D9" w:val="clear"/>
          </w:tcPr>
          <w:p>
            <w:pPr>
              <w:pStyle w:val="Compact"/>
              <w:spacing w:before="36" w:after="36"/>
              <w:jc w:val="left"/>
              <w:rPr>
                <w:b/>
                <w:b/>
                <w:bCs/>
              </w:rPr>
            </w:pPr>
            <w:r>
              <w:rPr>
                <w:b/>
                <w:bCs/>
                <w:i w:val="false"/>
                <w:iCs w:val="false"/>
                <w:strike w:val="false"/>
                <w:dstrike w:val="false"/>
                <w:outline w:val="false"/>
                <w:shadow w:val="false"/>
                <w:color w:val="000000"/>
                <w:sz w:val="18"/>
                <w:szCs w:val="18"/>
                <w:u w:val="none"/>
              </w:rPr>
              <w:t>Name</w:t>
            </w:r>
          </w:p>
        </w:tc>
        <w:tc>
          <w:tcPr>
            <w:tcW w:w="1451" w:type="dxa"/>
            <w:tcBorders>
              <w:top w:val="single" w:sz="4" w:space="0" w:color="000000"/>
              <w:left w:val="single" w:sz="4" w:space="0" w:color="000000"/>
              <w:bottom w:val="single" w:sz="4" w:space="0" w:color="000000"/>
            </w:tcBorders>
            <w:shd w:fill="D9D9D9" w:val="clear"/>
          </w:tcPr>
          <w:p>
            <w:pPr>
              <w:pStyle w:val="Compact"/>
              <w:spacing w:before="36" w:after="36"/>
              <w:jc w:val="left"/>
              <w:rPr>
                <w:b/>
                <w:b/>
                <w:bCs/>
              </w:rPr>
            </w:pPr>
            <w:r>
              <w:rPr>
                <w:b/>
                <w:bCs/>
                <w:i w:val="false"/>
                <w:iCs w:val="false"/>
                <w:strike w:val="false"/>
                <w:dstrike w:val="false"/>
                <w:outline w:val="false"/>
                <w:shadow w:val="false"/>
                <w:color w:val="000000"/>
                <w:sz w:val="18"/>
                <w:szCs w:val="18"/>
                <w:u w:val="none"/>
              </w:rPr>
              <w:t>Position</w:t>
            </w:r>
          </w:p>
        </w:tc>
        <w:tc>
          <w:tcPr>
            <w:tcW w:w="5278" w:type="dxa"/>
            <w:tcBorders>
              <w:top w:val="single" w:sz="4" w:space="0" w:color="000000"/>
              <w:left w:val="single" w:sz="4" w:space="0" w:color="000000"/>
              <w:bottom w:val="single" w:sz="4" w:space="0" w:color="000000"/>
            </w:tcBorders>
            <w:shd w:fill="D9D9D9" w:val="clear"/>
          </w:tcPr>
          <w:p>
            <w:pPr>
              <w:pStyle w:val="Compact"/>
              <w:spacing w:before="36" w:after="36"/>
              <w:jc w:val="left"/>
              <w:rPr>
                <w:b/>
                <w:b/>
                <w:bCs/>
              </w:rPr>
            </w:pPr>
            <w:r>
              <w:rPr>
                <w:b/>
                <w:bCs/>
                <w:i w:val="false"/>
                <w:iCs w:val="false"/>
                <w:strike w:val="false"/>
                <w:dstrike w:val="false"/>
                <w:outline w:val="false"/>
                <w:shadow w:val="false"/>
                <w:color w:val="000000"/>
                <w:sz w:val="18"/>
                <w:szCs w:val="18"/>
                <w:u w:val="none"/>
              </w:rPr>
              <w:t>Institution</w:t>
            </w:r>
          </w:p>
        </w:tc>
        <w:tc>
          <w:tcPr>
            <w:tcW w:w="1451" w:type="dxa"/>
            <w:tcBorders>
              <w:top w:val="single" w:sz="4" w:space="0" w:color="000000"/>
              <w:left w:val="single" w:sz="4" w:space="0" w:color="000000"/>
              <w:bottom w:val="single" w:sz="4" w:space="0" w:color="000000"/>
            </w:tcBorders>
            <w:shd w:fill="D9D9D9" w:val="clear"/>
          </w:tcPr>
          <w:p>
            <w:pPr>
              <w:pStyle w:val="Compact"/>
              <w:spacing w:before="36" w:after="36"/>
              <w:jc w:val="left"/>
              <w:rPr>
                <w:b/>
                <w:b/>
                <w:bCs/>
              </w:rPr>
            </w:pPr>
            <w:r>
              <w:rPr>
                <w:b/>
                <w:bCs/>
                <w:i w:val="false"/>
                <w:iCs w:val="false"/>
                <w:strike w:val="false"/>
                <w:dstrike w:val="false"/>
                <w:outline w:val="false"/>
                <w:shadow w:val="false"/>
                <w:color w:val="000000"/>
                <w:sz w:val="18"/>
                <w:szCs w:val="18"/>
                <w:u w:val="none"/>
              </w:rPr>
              <w:t>Email</w:t>
            </w:r>
          </w:p>
        </w:tc>
        <w:tc>
          <w:tcPr>
            <w:tcW w:w="198" w:type="dxa"/>
            <w:tcBorders>
              <w:top w:val="single" w:sz="4" w:space="0" w:color="000000"/>
              <w:left w:val="single" w:sz="4" w:space="0" w:color="000000"/>
              <w:bottom w:val="single" w:sz="4" w:space="0" w:color="000000"/>
            </w:tcBorders>
            <w:shd w:fill="D9D9D9" w:val="clear"/>
          </w:tcPr>
          <w:p>
            <w:pPr>
              <w:pStyle w:val="Compact"/>
              <w:spacing w:before="36" w:after="36"/>
              <w:jc w:val="left"/>
              <w:rPr>
                <w:b/>
                <w:b/>
                <w:bCs/>
              </w:rPr>
            </w:pPr>
            <w:r>
              <w:rPr>
                <w:b/>
                <w:bCs/>
                <w:i w:val="false"/>
                <w:iCs w:val="false"/>
                <w:strike w:val="false"/>
                <w:dstrike w:val="false"/>
                <w:outline w:val="false"/>
                <w:shadow w:val="false"/>
                <w:color w:val="000000"/>
                <w:sz w:val="18"/>
                <w:szCs w:val="18"/>
                <w:u w:val="none"/>
              </w:rPr>
              <w:t>ID</w:t>
            </w:r>
          </w:p>
        </w:tc>
        <w:tc>
          <w:tcPr>
            <w:tcW w:w="392" w:type="dxa"/>
            <w:tcBorders>
              <w:top w:val="single" w:sz="4" w:space="0" w:color="000000"/>
              <w:left w:val="single" w:sz="4" w:space="0" w:color="000000"/>
              <w:bottom w:val="single" w:sz="4" w:space="0" w:color="000000"/>
              <w:right w:val="single" w:sz="4" w:space="0" w:color="000000"/>
            </w:tcBorders>
            <w:shd w:fill="D9D9D9" w:val="clear"/>
          </w:tcPr>
          <w:p>
            <w:pPr>
              <w:pStyle w:val="Compact"/>
              <w:spacing w:before="36" w:after="36"/>
              <w:jc w:val="left"/>
              <w:rPr>
                <w:b/>
                <w:b/>
                <w:bCs/>
              </w:rPr>
            </w:pPr>
            <w:r>
              <w:rPr>
                <w:b/>
                <w:bCs/>
                <w:i w:val="false"/>
                <w:iCs w:val="false"/>
                <w:strike w:val="false"/>
                <w:dstrike w:val="false"/>
                <w:outline w:val="false"/>
                <w:shadow w:val="false"/>
                <w:color w:val="000000"/>
                <w:sz w:val="18"/>
                <w:szCs w:val="18"/>
                <w:u w:val="none"/>
              </w:rPr>
              <w:t>Phone</w:t>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Luke W. Johnston</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Clinical researcher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Steno Diabetes Center Aarhus</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2">
              <w:r>
                <w:rPr>
                  <w:rStyle w:val="InternetLink"/>
                  <w:b w:val="false"/>
                  <w:bCs w:val="false"/>
                  <w:i w:val="false"/>
                  <w:iCs w:val="false"/>
                  <w:strike w:val="false"/>
                  <w:dstrike w:val="false"/>
                  <w:outline w:val="false"/>
                  <w:shadow w:val="false"/>
                  <w:color w:val="000000"/>
                  <w:sz w:val="18"/>
                  <w:szCs w:val="18"/>
                  <w:u w:val="none"/>
                </w:rPr>
                <w:t>luke.johnston@rm.dk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2"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Omar Silverman</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Clinical researcher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Steno Diabetes Center Aarhus</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3">
              <w:r>
                <w:rPr>
                  <w:rStyle w:val="InternetLink"/>
                  <w:b w:val="false"/>
                  <w:bCs w:val="false"/>
                  <w:i w:val="false"/>
                  <w:iCs w:val="false"/>
                  <w:strike w:val="false"/>
                  <w:dstrike w:val="false"/>
                  <w:outline w:val="false"/>
                  <w:shadow w:val="false"/>
                  <w:color w:val="000000"/>
                  <w:sz w:val="18"/>
                  <w:szCs w:val="18"/>
                  <w:u w:val="none"/>
                </w:rPr>
                <w:t>jossil@rm.dk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2"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Daniel R. Witte</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Professor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Steno Diabetes Center Aarhus and Institute for Public Health, Aarhus University</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4">
              <w:r>
                <w:rPr>
                  <w:rStyle w:val="InternetLink"/>
                  <w:b w:val="false"/>
                  <w:bCs w:val="false"/>
                  <w:i w:val="false"/>
                  <w:iCs w:val="false"/>
                  <w:strike w:val="false"/>
                  <w:dstrike w:val="false"/>
                  <w:outline w:val="false"/>
                  <w:shadow w:val="false"/>
                  <w:color w:val="000000"/>
                  <w:sz w:val="18"/>
                  <w:szCs w:val="18"/>
                  <w:u w:val="none"/>
                </w:rPr>
                <w:t>daniel.witte@ph.au.dk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2"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Gunnar Toft</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Senior Researcher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Steno Diabetes Center Aarhus</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5">
              <w:r>
                <w:rPr>
                  <w:rStyle w:val="InternetLink"/>
                  <w:b w:val="false"/>
                  <w:bCs w:val="false"/>
                  <w:i w:val="false"/>
                  <w:iCs w:val="false"/>
                  <w:strike w:val="false"/>
                  <w:dstrike w:val="false"/>
                  <w:outline w:val="false"/>
                  <w:shadow w:val="false"/>
                  <w:color w:val="000000"/>
                  <w:sz w:val="18"/>
                  <w:szCs w:val="18"/>
                  <w:u w:val="none"/>
                </w:rPr>
                <w:t>guntof@rm.dk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2"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Adam Hulman</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Senior Data Scientist</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Steno Diabetes Center Aarhus</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6">
              <w:r>
                <w:rPr>
                  <w:rStyle w:val="InternetLink"/>
                  <w:b w:val="false"/>
                  <w:bCs w:val="false"/>
                  <w:i w:val="false"/>
                  <w:iCs w:val="false"/>
                  <w:strike w:val="false"/>
                  <w:dstrike w:val="false"/>
                  <w:outline w:val="false"/>
                  <w:shadow w:val="false"/>
                  <w:color w:val="000000"/>
                  <w:sz w:val="18"/>
                  <w:szCs w:val="18"/>
                  <w:u w:val="none"/>
                </w:rPr>
                <w:t>adahul@rm.dk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2"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Annelli Sandbæk</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Unit Manager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Steno Diabetes Center Aarhus</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7">
              <w:r>
                <w:rPr>
                  <w:rStyle w:val="InternetLink"/>
                  <w:b w:val="false"/>
                  <w:bCs w:val="false"/>
                  <w:i w:val="false"/>
                  <w:iCs w:val="false"/>
                  <w:strike w:val="false"/>
                  <w:dstrike w:val="false"/>
                  <w:outline w:val="false"/>
                  <w:shadow w:val="false"/>
                  <w:color w:val="000000"/>
                  <w:sz w:val="18"/>
                  <w:szCs w:val="18"/>
                  <w:u w:val="none"/>
                </w:rPr>
                <w:t>anesnd@rm.dk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2"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bookmarkStart w:id="10" w:name="Xc7725dc1b00de7587a7f4cd943942e8f40ca8fd"/>
            <w:bookmarkStart w:id="11" w:name="Xc7725dc1b00de7587a7f4cd943942e8f40ca8fd"/>
            <w:bookmarkEnd w:id="11"/>
          </w:p>
        </w:tc>
      </w:tr>
    </w:tbl>
    <w:p>
      <w:pPr>
        <w:pStyle w:val="Heading2"/>
        <w:rPr/>
      </w:pPr>
      <w:r>
        <w:rPr/>
        <w:t>Underskrift / Signatures</w:t>
      </w:r>
    </w:p>
    <w:p>
      <w:pPr>
        <w:pStyle w:val="FirstParagraph"/>
        <w:rPr/>
      </w:pPr>
      <w:r>
        <w:rPr/>
        <w:t>Underskriver bekræfter på vegne af den dataansvarlige autoriserede institution, at den konkrete behandling er lovlig i henhold til databeskyttelsesforordningen artikel 6.</w:t>
      </w:r>
    </w:p>
    <w:p>
      <w:pPr>
        <w:pStyle w:val="TextBody"/>
        <w:rPr/>
      </w:pPr>
      <w:r>
        <w:rPr/>
        <w:t>Underskriver bekræfter ligeledes at være formelt ansat på den dataansvarlige autoriserede institution, der indstiller projektet.</w:t>
      </w:r>
    </w:p>
    <w:p>
      <w:pPr>
        <w:pStyle w:val="TextBody"/>
        <w:rPr/>
      </w:pPr>
      <w:r>
        <w:rPr>
          <w:b/>
          <w:bCs/>
        </w:rPr>
        <w:t>På vegne af den dataansvarlige:</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Annelli Sandbæk</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Enhedschef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p>
        </w:tc>
      </w:tr>
    </w:tbl>
    <w:p>
      <w:pPr>
        <w:pStyle w:val="TextBody"/>
        <w:rPr/>
      </w:pPr>
      <w:r>
        <w:rPr>
          <w:b/>
          <w:bCs/>
        </w:rPr>
        <w:t>Godkendt til ekstern adgang</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Nikolaj Borg Burmeister</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Kontorchef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bookmarkStart w:id="12" w:name="project-description-for-dst-application"/>
            <w:bookmarkStart w:id="13" w:name="project-description-for-dst-application"/>
            <w:bookmarkEnd w:id="13"/>
          </w:p>
        </w:tc>
      </w:tr>
    </w:tbl>
    <w:p>
      <w:pPr>
        <w:pStyle w:val="Heading2"/>
        <w:rPr/>
      </w:pPr>
      <w:r>
        <w:rPr/>
      </w:r>
    </w:p>
    <w:sectPr>
      <w:footerReference w:type="default" r:id="rId8"/>
      <w:type w:val="nextPage"/>
      <w:pgSz w:w="11906" w:h="16838"/>
      <w:pgMar w:left="1008" w:right="1008" w:header="0" w:top="1008" w:footer="1008" w:bottom="154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Bitstream Ve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Bitstream Vera Sans">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75"/>
  <w:embedSystemFonts/>
  <w:defaultTabStop w:val="643"/>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Bitstream Vera Sans" w:hAnsi="Bitstream Vera Sans" w:eastAsia="Cambria" w:cs="" w:cstheme="minorBidi" w:eastAsiaTheme="minorHAnsi"/>
      <w:color w:val="auto"/>
      <w:kern w:val="0"/>
      <w:sz w:val="22"/>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Bitstream Vera Sans" w:hAnsi="Bitstream Vera Sans" w:eastAsia="" w:cs="" w:cstheme="majorBidi" w:eastAsiaTheme="majorEastAsia"/>
      <w:b/>
      <w:bCs/>
      <w:color w:val="0000FF"/>
      <w:sz w:val="22"/>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ke.johnston@rm.dk" TargetMode="External"/><Relationship Id="rId3" Type="http://schemas.openxmlformats.org/officeDocument/2006/relationships/hyperlink" Target="mailto:jossil@rm.dk" TargetMode="External"/><Relationship Id="rId4" Type="http://schemas.openxmlformats.org/officeDocument/2006/relationships/hyperlink" Target="mailto:daniel.witte@ph.au.dk" TargetMode="External"/><Relationship Id="rId5" Type="http://schemas.openxmlformats.org/officeDocument/2006/relationships/hyperlink" Target="mailto:guntof@rm.dk" TargetMode="External"/><Relationship Id="rId6" Type="http://schemas.openxmlformats.org/officeDocument/2006/relationships/hyperlink" Target="mailto:adahul@rm.dk" TargetMode="External"/><Relationship Id="rId7" Type="http://schemas.openxmlformats.org/officeDocument/2006/relationships/hyperlink" Target="mailto:anesnd@rm.dk"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2021-07-12T13:28:18Z</dcterms:created>
  <dc:creator/>
  <dc:description/>
  <dc:language>en-US</dc:language>
  <cp:lastModifiedBy>Luke Johnston</cp:lastModifiedBy>
  <dcterms:modified xsi:type="dcterms:W3CDTF">2021-07-16T11:38:05Z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fontsize">
    <vt:lpwstr>11pt</vt:lpwstr>
  </property>
  <property fmtid="{D5CDD505-2E9C-101B-9397-08002B2CF9AE}" pid="9" name="output">
    <vt:lpwstr/>
  </property>
  <property fmtid="{D5CDD505-2E9C-101B-9397-08002B2CF9AE}" pid="10" name="papersize">
    <vt:lpwstr>a4</vt:lpwstr>
  </property>
</Properties>
</file>